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color w:val="1F4E79"/>
          <w:sz w:val="40"/>
        </w:rPr>
        <w:t>EUDR — Схема на отговорностите</w:t>
      </w:r>
    </w:p>
    <w:p>
      <w:pPr>
        <w:pStyle w:val="Normal"/>
        <w:rPr/>
      </w:pPr>
      <w:r>
        <w:rPr>
          <w:i/>
          <w:color w:val="444444"/>
          <w:sz w:val="22"/>
        </w:rPr>
        <w:t>Кога регламентът се прилага, от кога и в каква степен</w:t>
      </w:r>
    </w:p>
    <w:p>
      <w:pPr>
        <w:pStyle w:val="Normal"/>
        <w:spacing w:before="0" w:after="200"/>
        <w:jc w:val="center"/>
        <w:rPr/>
        <w:sectPr>
          <w:type w:val="nextPage"/>
          <w:pgSz w:orient="landscape" w:w="23811" w:h="16838"/>
          <w:pgMar w:left="567" w:right="567" w:gutter="0" w:header="0" w:top="283" w:footer="0" w:bottom="283"/>
          <w:pgNumType w:fmt="decimal"/>
          <w:formProt w:val="false"/>
          <w:textDirection w:val="lrTb"/>
          <w:docGrid w:type="default" w:linePitch="360" w:charSpace="0"/>
        </w:sectPr>
      </w:pPr>
      <w:r>
        <w:rPr/>
        <w:drawing>
          <wp:inline distT="0" distB="0" distL="0" distR="0">
            <wp:extent cx="11736070" cy="9178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6070" cy="917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>
          <w:b/>
          <w:color w:val="2E5C8A"/>
          <w:sz w:val="18"/>
        </w:rPr>
        <w:t xml:space="preserve">Стъпка 1 — обхват по код.  </w:t>
      </w:r>
      <w:r>
        <w:rPr>
          <w:sz w:val="18"/>
        </w:rPr>
        <w:t>Първият въпрос не е „съдържа ли дървесина“, а „кодът по Комбинираната номенклатура в Приложение I ли е“. Ако кодът не е в Приложение I, продуктът е извън EUDR дори когато вътре има съответна стока. Обратно — ако кодът е в Приложение I, но продуктът не съдържа и не е произведен от съответната стока, също е извън обхвата.</w:t>
      </w:r>
    </w:p>
    <w:p>
      <w:pPr>
        <w:pStyle w:val="Normal"/>
        <w:rPr/>
      </w:pPr>
      <w:r>
        <w:rPr>
          <w:b/>
          <w:color w:val="2E5C8A"/>
          <w:sz w:val="18"/>
        </w:rPr>
        <w:t xml:space="preserve">Стъпка 2 — изключените случаи.  </w:t>
      </w:r>
      <w:r>
        <w:rPr>
          <w:sz w:val="18"/>
        </w:rPr>
        <w:t>Изцяло рециклиран или възстановен материал, употребявани и втора употреба продукти, печатни продукти по глава 49 и опаковка, която само носи или предпазва друг продукт — извън обхвата. Ако в изделието има и нерециклиран материал, само тази част остава в обхвата.</w:t>
      </w:r>
    </w:p>
    <w:p>
      <w:pPr>
        <w:pStyle w:val="Normal"/>
        <w:rPr/>
      </w:pPr>
      <w:r>
        <w:rPr>
          <w:b/>
          <w:color w:val="2E5C8A"/>
          <w:sz w:val="18"/>
        </w:rPr>
        <w:t xml:space="preserve">Стъпка 3 — ролята.  </w:t>
      </w:r>
      <w:r>
        <w:rPr>
          <w:sz w:val="18"/>
        </w:rPr>
        <w:t>Оператор е този, който пуска продукта на пазара за първи път или го изнася. Downstream оператор е този, който пуска продукт, вече обхванат от ДНП или опростена декларация. Търговец е всеки друг по веригата, който предоставя продукта на пазара. Ролята определя обема на задълженията, не размерът на фирмата.</w:t>
      </w:r>
    </w:p>
    <w:p>
      <w:pPr>
        <w:pStyle w:val="Normal"/>
        <w:rPr/>
      </w:pPr>
      <w:r>
        <w:rPr>
          <w:b/>
          <w:color w:val="2E5C8A"/>
          <w:sz w:val="18"/>
        </w:rPr>
        <w:t xml:space="preserve">Стъпка 4 — срокът.  </w:t>
      </w:r>
      <w:r>
        <w:rPr>
          <w:sz w:val="18"/>
        </w:rPr>
        <w:t>Операторите имат 30.12.2026, а микро и малките — 30.06.2027, но само при две условия: били са микро/малко към 31.12.2024 г. и продуктът не е в Приложение I на EUTR. Downstream операторите и търговците са на 30.12.2026 независимо от размера.</w:t>
      </w:r>
    </w:p>
    <w:p>
      <w:pPr>
        <w:pStyle w:val="Normal"/>
        <w:rPr/>
      </w:pPr>
      <w:r>
        <w:rPr>
          <w:b/>
          <w:color w:val="2E5C8A"/>
          <w:sz w:val="18"/>
        </w:rPr>
        <w:t xml:space="preserve">Стъпка 5 — степента.  </w:t>
      </w:r>
      <w:r>
        <w:rPr>
          <w:sz w:val="18"/>
        </w:rPr>
        <w:t>Операторът носи пълния цикъл — информация, оценка, смекчаване и подаване на ДНП. Микро/малкият първичен оператор в страна с нисък риск подава еднократна опростена декларация. Downstream операторите и търговците не подават ДНП — те събират и пазят информация, а non-SME се регистрират и проверяват нагоре само при основателно съмнение.</w:t>
      </w:r>
    </w:p>
    <w:p>
      <w:pPr>
        <w:pStyle w:val="Normal"/>
        <w:rPr/>
      </w:pPr>
      <w:r>
        <w:rPr>
          <w:b/>
          <w:color w:val="2E5C8A"/>
          <w:sz w:val="18"/>
        </w:rPr>
        <w:t xml:space="preserve">Стъпка 6 — нивото на риск.  </w:t>
      </w:r>
      <w:r>
        <w:rPr>
          <w:sz w:val="18"/>
        </w:rPr>
        <w:t>Нивото се определя от държавата на ПРОИЗХОД на стоката, не от седалището на фирмата. Ако всички съответни стоки са произведени изключително в държави с нисък риск и след оценка на сложността на веригата рискът от заобикаляне или смесване е незначителен, операторът не прави оценка по чл. 10 и не прилага чл. 11 — това е опростената проверка по чл. 13. Достатъчно е една стока от STANDARD или HIGH произход, за да се приложи пълният цикъл. Ако материал от STANDARD/HIGH бъде преработен в LOW държава, продуктът НЕ става низкорисков — класифицира се по произхода на суровината (чл. 13(3)).</w:t>
      </w:r>
    </w:p>
    <w:p>
      <w:pPr>
        <w:pStyle w:val="Normal"/>
        <w:rPr/>
      </w:pPr>
      <w:r>
        <w:rPr>
          <w:b/>
          <w:color w:val="1F4E79"/>
          <w:sz w:val="28"/>
        </w:rPr>
        <w:t>Нива на риск</w:t>
      </w:r>
    </w:p>
    <w:p>
      <w:pPr>
        <w:pStyle w:val="Normal"/>
        <w:rPr/>
      </w:pPr>
      <w:r>
        <w:rPr>
          <w:i/>
          <w:color w:val="444444"/>
          <w:sz w:val="19"/>
        </w:rPr>
        <w:t>Нивото се определя от държавата (или частта от държава) на произход. При смесен произход се прилага най-високото ниво. Класификацията се актуализира с акт на Комисията — при промяна нивото се сменя автоматично.</w:t>
      </w:r>
    </w:p>
    <w:tbl>
      <w:tblPr>
        <w:tblStyle w:val="TableGrid"/>
        <w:tblW w:w="1009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523"/>
        <w:gridCol w:w="2523"/>
        <w:gridCol w:w="2523"/>
        <w:gridCol w:w="2523"/>
      </w:tblGrid>
      <w:tr>
        <w:trPr/>
        <w:tc>
          <w:tcPr>
            <w:tcW w:w="2523" w:type="dxa"/>
            <w:tcBorders/>
            <w:shd w:fill="2E5C8A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FFFFFF"/>
                <w:kern w:val="0"/>
                <w:sz w:val="18"/>
                <w:szCs w:val="22"/>
                <w:lang w:val="en-US" w:eastAsia="en-US" w:bidi="ar-SA"/>
              </w:rPr>
              <w:t>Изискване</w:t>
            </w:r>
          </w:p>
        </w:tc>
        <w:tc>
          <w:tcPr>
            <w:tcW w:w="2523" w:type="dxa"/>
            <w:tcBorders/>
            <w:shd w:fill="2F6B2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FFFFFF"/>
                <w:kern w:val="0"/>
                <w:sz w:val="18"/>
                <w:szCs w:val="22"/>
                <w:lang w:val="en-US" w:eastAsia="en-US" w:bidi="ar-SA"/>
              </w:rPr>
              <w:t>LOW</w:t>
            </w:r>
          </w:p>
        </w:tc>
        <w:tc>
          <w:tcPr>
            <w:tcW w:w="2523" w:type="dxa"/>
            <w:tcBorders/>
            <w:shd w:fill="8A6A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FFFFFF"/>
                <w:kern w:val="0"/>
                <w:sz w:val="18"/>
                <w:szCs w:val="22"/>
                <w:lang w:val="en-US" w:eastAsia="en-US" w:bidi="ar-SA"/>
              </w:rPr>
              <w:t>STANDARD</w:t>
            </w:r>
          </w:p>
        </w:tc>
        <w:tc>
          <w:tcPr>
            <w:tcW w:w="2523" w:type="dxa"/>
            <w:tcBorders/>
            <w:shd w:fill="8B1A1A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FFFFFF"/>
                <w:kern w:val="0"/>
                <w:sz w:val="18"/>
                <w:szCs w:val="22"/>
                <w:lang w:val="en-US" w:eastAsia="en-US" w:bidi="ar-SA"/>
              </w:rPr>
              <w:t>HIGH</w:t>
            </w:r>
          </w:p>
        </w:tc>
      </w:tr>
      <w:tr>
        <w:trPr/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5"/>
                <w:szCs w:val="22"/>
                <w:lang w:val="en-US" w:eastAsia="en-US" w:bidi="ar-SA"/>
              </w:rPr>
              <w:t>Оценка по чл. 10 и смекчаване по чл. 11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не се изисква</w:t>
              <w:br/>
              <w:t>(чл. 13)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пълна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пълна, засилено внимание</w:t>
            </w:r>
          </w:p>
        </w:tc>
      </w:tr>
      <w:tr>
        <w:trPr/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5"/>
                <w:szCs w:val="22"/>
                <w:lang w:val="en-US" w:eastAsia="en-US" w:bidi="ar-SA"/>
              </w:rPr>
              <w:t>Микро/малък първичен оператор (чл. 4a)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възможен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невъзможен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невъзможен</w:t>
            </w:r>
          </w:p>
        </w:tc>
      </w:tr>
      <w:tr>
        <w:trPr/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5"/>
                <w:szCs w:val="22"/>
                <w:lang w:val="en-US" w:eastAsia="en-US" w:bidi="ar-SA"/>
              </w:rPr>
              <w:t>Пощенски адрес вместо геолокация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само за първичен оператор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недопустим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недопустим</w:t>
            </w:r>
          </w:p>
        </w:tc>
      </w:tr>
      <w:tr>
        <w:trPr/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5"/>
                <w:szCs w:val="22"/>
                <w:lang w:val="en-US" w:eastAsia="en-US" w:bidi="ar-SA"/>
              </w:rPr>
              <w:t>Доказателства: FPIC, право на земя, корупция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не се изискват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изискват се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приоритетно</w:t>
            </w:r>
          </w:p>
        </w:tc>
      </w:tr>
      <w:tr>
        <w:trPr/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5"/>
                <w:szCs w:val="22"/>
                <w:lang w:val="en-US" w:eastAsia="en-US" w:bidi="ar-SA"/>
              </w:rPr>
              <w:t>Проверки от компетентния орган (годишно)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1 %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3 %</w:t>
            </w:r>
          </w:p>
        </w:tc>
        <w:tc>
          <w:tcPr>
            <w:tcW w:w="25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5"/>
                <w:szCs w:val="22"/>
                <w:lang w:val="en-US" w:eastAsia="en-US" w:bidi="ar-SA"/>
              </w:rPr>
              <w:t>9 %</w:t>
            </w:r>
          </w:p>
        </w:tc>
      </w:tr>
    </w:tbl>
    <w:p>
      <w:pPr>
        <w:pStyle w:val="Normal"/>
        <w:rPr/>
      </w:pPr>
      <w:r>
        <w:rPr>
          <w:b/>
          <w:color w:val="1F4E79"/>
          <w:sz w:val="28"/>
        </w:rPr>
        <w:t>Ключови дати</w:t>
      </w:r>
    </w:p>
    <w:tbl>
      <w:tblPr>
        <w:tblStyle w:val="TableGrid"/>
        <w:tblW w:w="1009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046"/>
        <w:gridCol w:w="5046"/>
      </w:tblGrid>
      <w:tr>
        <w:trPr/>
        <w:tc>
          <w:tcPr>
            <w:tcW w:w="5046" w:type="dxa"/>
            <w:tcBorders/>
            <w:shd w:fill="2E5C8A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FFFFFF"/>
                <w:kern w:val="0"/>
                <w:sz w:val="20"/>
                <w:szCs w:val="22"/>
                <w:lang w:val="en-US" w:eastAsia="en-US" w:bidi="ar-SA"/>
              </w:rPr>
              <w:t>Дата</w:t>
            </w:r>
          </w:p>
        </w:tc>
        <w:tc>
          <w:tcPr>
            <w:tcW w:w="5046" w:type="dxa"/>
            <w:tcBorders/>
            <w:shd w:fill="2E5C8A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FFFFFF"/>
                <w:kern w:val="0"/>
                <w:sz w:val="20"/>
                <w:szCs w:val="22"/>
                <w:lang w:val="en-US" w:eastAsia="en-US" w:bidi="ar-SA"/>
              </w:rPr>
              <w:t>Кой / какво</w:t>
            </w:r>
          </w:p>
        </w:tc>
      </w:tr>
      <w:tr>
        <w:trPr/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7"/>
                <w:szCs w:val="22"/>
                <w:lang w:val="en-US" w:eastAsia="en-US" w:bidi="ar-SA"/>
              </w:rPr>
              <w:t>30.12.2026</w:t>
            </w:r>
          </w:p>
        </w:tc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Оператори — големи и средни</w:t>
            </w:r>
          </w:p>
        </w:tc>
      </w:tr>
      <w:tr>
        <w:trPr/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7"/>
                <w:szCs w:val="22"/>
                <w:lang w:val="en-US" w:eastAsia="en-US" w:bidi="ar-SA"/>
              </w:rPr>
              <w:t>30.12.2026</w:t>
            </w:r>
          </w:p>
        </w:tc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Оператори — микро и малки, когато продуктът е в Приложение I на EUTR</w:t>
            </w:r>
          </w:p>
        </w:tc>
      </w:tr>
      <w:tr>
        <w:trPr/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7"/>
                <w:szCs w:val="22"/>
                <w:lang w:val="en-US" w:eastAsia="en-US" w:bidi="ar-SA"/>
              </w:rPr>
              <w:t>30.12.2026</w:t>
            </w:r>
          </w:p>
        </w:tc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Всички downstream оператори и всички търговци, независимо от размера</w:t>
            </w:r>
          </w:p>
        </w:tc>
      </w:tr>
      <w:tr>
        <w:trPr/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7"/>
                <w:szCs w:val="22"/>
                <w:lang w:val="en-US" w:eastAsia="en-US" w:bidi="ar-SA"/>
              </w:rPr>
              <w:t>30.06.2027</w:t>
            </w:r>
          </w:p>
        </w:tc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Оператори — микро и малки, извън EUTR, ако са били такива към 31.12.2024 г.</w:t>
            </w:r>
          </w:p>
        </w:tc>
      </w:tr>
      <w:tr>
        <w:trPr/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7"/>
                <w:szCs w:val="22"/>
                <w:lang w:val="en-US" w:eastAsia="en-US" w:bidi="ar-SA"/>
              </w:rPr>
              <w:t>30.06.2027</w:t>
            </w:r>
          </w:p>
        </w:tc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Микро/малък първичен оператор в страна с нисък риск (30.12.2026, ако е дървесина по EUTR)</w:t>
            </w:r>
          </w:p>
        </w:tc>
      </w:tr>
      <w:tr>
        <w:trPr/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7"/>
                <w:szCs w:val="22"/>
                <w:lang w:val="en-US" w:eastAsia="en-US" w:bidi="ar-SA"/>
              </w:rPr>
              <w:t>30.12.2027</w:t>
            </w:r>
          </w:p>
        </w:tc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Продукти, добавени с Делегиран регламент (ЕС) 2026/2102</w:t>
            </w:r>
          </w:p>
        </w:tc>
      </w:tr>
      <w:tr>
        <w:trPr/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7"/>
                <w:szCs w:val="22"/>
                <w:lang w:val="en-US" w:eastAsia="en-US" w:bidi="ar-SA"/>
              </w:rPr>
              <w:t>до 31.12.2029</w:t>
            </w:r>
          </w:p>
        </w:tc>
        <w:tc>
          <w:tcPr>
            <w:tcW w:w="50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EUTR остава приложим за дървесина, произведена преди 29.06.2023 и пусната на пазара от 30.12.2026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>
          <w:i/>
          <w:color w:val="666666"/>
          <w:sz w:val="14"/>
        </w:rPr>
        <w:t>Източници: Регламент (ЕС) 2023/1115; Регламент (ЕС) 2025/2650 (чл. 37, чл. 38); Регламент (ЕС) 2024/3234; Делегиран регламент (ЕС) 2026/2102; Регламент (ЕС) 995/2010 (EUTR); Насоки и ЧЗВ на Европейската комисия.</w:t>
      </w:r>
    </w:p>
    <w:sectPr>
      <w:type w:val="nextPage"/>
      <w:pgSz w:w="11906" w:h="16838"/>
      <w:pgMar w:left="907" w:right="907" w:gutter="0" w:header="0" w:top="794" w:footer="0" w:bottom="79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2</Pages>
  <Words>571</Words>
  <Characters>3137</Characters>
  <CharactersWithSpaces>3680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2026-10-21T12:44:36Z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