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F4E79"/>
          <w:sz w:val="34"/>
        </w:rPr>
        <w:t>EUDR — Роли, отговорности и срокове на съответствие</w:t>
      </w:r>
    </w:p>
    <w:p>
      <w:r>
        <w:rPr>
          <w:i/>
          <w:color w:val="444444"/>
          <w:sz w:val="17"/>
        </w:rPr>
        <w:t>Регламент (ЕС) 2023/1115, изменен с Регламент (ЕС) 2025/2650</w:t>
      </w:r>
    </w:p>
    <w:p>
      <w:r>
        <w:rPr>
          <w:sz w:val="16"/>
        </w:rPr>
        <w:t xml:space="preserve">✓  прилага се пълното задължение        ✗  не се прилага        </w:t>
      </w:r>
      <w:r>
        <w:rPr>
          <w:b/>
          <w:color w:val="9C5700"/>
          <w:sz w:val="16"/>
        </w:rPr>
        <w:t>жълто с текст</w:t>
      </w:r>
      <w:r>
        <w:rPr>
          <w:sz w:val="16"/>
        </w:rPr>
        <w:t xml:space="preserve">  =  прилага се само при изрично посоченото условие  →  стр. 2 – условия,  стр. 3 – нива на риск.  </w:t>
      </w:r>
      <w:r>
        <w:rPr>
          <w:i/>
          <w:color w:val="8A4B00"/>
          <w:sz w:val="16"/>
        </w:rPr>
        <w:t>Клетките „само при STANDARD/HIGH“ означават, че задължението отпада при произход само от LOW държави (чл. 13).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2677"/>
      </w:tblGrid>
      <w:tr>
        <w:tc>
          <w:tcPr>
            <w:tcW w:type="dxa" w:w="22677"/>
            <w:shd w:fill="FFF3CD" w:val="clear"/>
          </w:tcPr>
          <w:p>
            <w:r/>
            <w:r>
              <w:rPr>
                <w:b/>
                <w:color w:val="7F3F00"/>
                <w:sz w:val="17"/>
              </w:rPr>
              <w:t xml:space="preserve">⚠  КЛЮЧОВ КАПАН:  </w:t>
            </w:r>
            <w:r>
              <w:rPr>
                <w:color w:val="7F3F00"/>
                <w:sz w:val="17"/>
              </w:rPr>
              <w:t>продуктите по Приложение I на EUTR (дървесина и дървени мебели) НЕ ползват отлагането до 30.06.2027 — за тях срокът е 30.12.2026 независимо от размера. Столове по код 9401 НЕ са в EUTR → микро/малък производител остава 30.06.2027; маси по 9403 са в EUTR → 30.12.2026. Второ условие: отлагането важи само ако предприятието е било микро/малко към 31.12.2024.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620"/>
        <w:gridCol w:w="1620"/>
        <w:gridCol w:w="1620"/>
        <w:gridCol w:w="1620"/>
        <w:gridCol w:w="1620"/>
        <w:gridCol w:w="1620"/>
        <w:gridCol w:w="1620"/>
        <w:gridCol w:w="1620"/>
        <w:gridCol w:w="1620"/>
        <w:gridCol w:w="1620"/>
        <w:gridCol w:w="1620"/>
        <w:gridCol w:w="1620"/>
        <w:gridCol w:w="1620"/>
        <w:gridCol w:w="1620"/>
      </w:tblGrid>
      <w:tr>
        <w:tc>
          <w:tcPr>
            <w:tcW w:type="dxa" w:w="397"/>
            <w:vMerge w:val="restart"/>
            <w:shd w:fill="2E5C8A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2"/>
              </w:rPr>
              <w:t>№</w:t>
            </w:r>
          </w:p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color w:val="FFE9C0"/>
                <w:sz w:val="11"/>
              </w:rPr>
            </w:r>
          </w:p>
        </w:tc>
        <w:tc>
          <w:tcPr>
            <w:tcW w:type="dxa" w:w="3402"/>
            <w:vMerge w:val="restart"/>
            <w:shd w:fill="2E5C8A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2"/>
              </w:rPr>
              <w:t>Изискване / задължение</w:t>
            </w:r>
          </w:p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color w:val="FFE9C0"/>
                <w:sz w:val="11"/>
              </w:rPr>
            </w:r>
          </w:p>
        </w:tc>
        <w:tc>
          <w:tcPr>
            <w:tcW w:type="dxa" w:w="1417"/>
            <w:vMerge w:val="restart"/>
            <w:shd w:fill="2E5C8A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2"/>
              </w:rPr>
              <w:t>Правно</w:t>
              <w:br/>
              <w:t>основание</w:t>
            </w:r>
          </w:p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color w:val="FFE9C0"/>
                <w:sz w:val="11"/>
              </w:rPr>
            </w:r>
          </w:p>
        </w:tc>
        <w:tc>
          <w:tcPr>
            <w:tcW w:type="dxa" w:w="1644"/>
            <w:vMerge w:val="restart"/>
            <w:shd w:fill="2E5C8A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2"/>
              </w:rPr>
              <w:t>В сила от</w:t>
            </w:r>
          </w:p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color w:val="FFE9C0"/>
                <w:sz w:val="11"/>
              </w:rPr>
            </w:r>
          </w:p>
        </w:tc>
        <w:tc>
          <w:tcPr>
            <w:tcW w:type="dxa" w:w="1344"/>
            <w:shd w:fill="2E5C8A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2"/>
              </w:rPr>
              <w:t>Оператор</w:t>
              <w:br/>
              <w:t>голям / среден</w:t>
            </w:r>
          </w:p>
        </w:tc>
        <w:tc>
          <w:tcPr>
            <w:tcW w:type="dxa" w:w="1344"/>
            <w:shd w:fill="2E5C8A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2"/>
              </w:rPr>
              <w:t>Оператор</w:t>
              <w:br/>
              <w:t>микро / малък</w:t>
              <w:br/>
              <w:t>EUTR продукт</w:t>
            </w:r>
          </w:p>
        </w:tc>
        <w:tc>
          <w:tcPr>
            <w:tcW w:type="dxa" w:w="1344"/>
            <w:shd w:fill="2E5C8A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2"/>
              </w:rPr>
              <w:t>Оператор</w:t>
              <w:br/>
              <w:t>микро / малък</w:t>
              <w:br/>
              <w:t>извън EUTR</w:t>
            </w:r>
          </w:p>
        </w:tc>
        <w:tc>
          <w:tcPr>
            <w:tcW w:type="dxa" w:w="1344"/>
            <w:shd w:fill="2E5C8A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2"/>
              </w:rPr>
              <w:t>Микро / малък</w:t>
              <w:br/>
              <w:t>първичен</w:t>
              <w:br/>
              <w:t>оператор</w:t>
            </w:r>
          </w:p>
        </w:tc>
        <w:tc>
          <w:tcPr>
            <w:tcW w:type="dxa" w:w="1344"/>
            <w:shd w:fill="2E5C8A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2"/>
              </w:rPr>
              <w:t>Downstream</w:t>
              <w:br/>
              <w:t>оператор</w:t>
              <w:br/>
              <w:t>non-SME</w:t>
            </w:r>
          </w:p>
        </w:tc>
        <w:tc>
          <w:tcPr>
            <w:tcW w:type="dxa" w:w="1344"/>
            <w:shd w:fill="2E5C8A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2"/>
              </w:rPr>
              <w:t>Downstream</w:t>
              <w:br/>
              <w:t>оператор</w:t>
              <w:br/>
              <w:t>SME</w:t>
            </w:r>
          </w:p>
        </w:tc>
        <w:tc>
          <w:tcPr>
            <w:tcW w:type="dxa" w:w="1344"/>
            <w:shd w:fill="2E5C8A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2"/>
              </w:rPr>
              <w:t>Търговец</w:t>
              <w:br/>
              <w:t>non-SME</w:t>
            </w:r>
          </w:p>
        </w:tc>
        <w:tc>
          <w:tcPr>
            <w:tcW w:type="dxa" w:w="1344"/>
            <w:shd w:fill="2E5C8A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2"/>
              </w:rPr>
              <w:t>Търговец</w:t>
              <w:br/>
              <w:t>SME</w:t>
            </w:r>
          </w:p>
        </w:tc>
        <w:tc>
          <w:tcPr>
            <w:tcW w:type="dxa" w:w="1344"/>
            <w:shd w:fill="2E5C8A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2"/>
              </w:rPr>
              <w:t>EUTR</w:t>
              <w:br/>
              <w:t>(стар режим)</w:t>
              <w:br/>
              <w:t>само дървесина</w:t>
            </w:r>
          </w:p>
        </w:tc>
        <w:tc>
          <w:tcPr>
            <w:tcW w:type="dxa" w:w="2494"/>
            <w:vMerge w:val="restart"/>
            <w:shd w:fill="2E5C8A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2"/>
              </w:rPr>
              <w:t>Бележка</w:t>
            </w:r>
          </w:p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color w:val="FFE9C0"/>
                <w:sz w:val="11"/>
              </w:rPr>
            </w:r>
          </w:p>
        </w:tc>
      </w:tr>
      <w:tr>
        <w:tc>
          <w:tcPr>
            <w:tcW w:type="dxa" w:w="1620"/>
            <w:vMerge/>
            <w:shd w:fill="2E5C8A" w:val="clear"/>
          </w:tcPr>
          <w:p/>
        </w:tc>
        <w:tc>
          <w:tcPr>
            <w:tcW w:type="dxa" w:w="1620"/>
            <w:vMerge/>
            <w:shd w:fill="2E5C8A" w:val="clear"/>
          </w:tcPr>
          <w:p/>
        </w:tc>
        <w:tc>
          <w:tcPr>
            <w:tcW w:type="dxa" w:w="1620"/>
            <w:vMerge/>
            <w:shd w:fill="2E5C8A" w:val="clear"/>
          </w:tcPr>
          <w:p/>
        </w:tc>
        <w:tc>
          <w:tcPr>
            <w:tcW w:type="dxa" w:w="1620"/>
            <w:vMerge/>
            <w:shd w:fill="2E5C8A" w:val="clear"/>
          </w:tcPr>
          <w:p/>
        </w:tc>
        <w:tc>
          <w:tcPr>
            <w:tcW w:type="dxa" w:w="1344"/>
            <w:shd w:fill="2E5C8A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color w:val="FFE9C0"/>
                <w:sz w:val="11"/>
              </w:rPr>
              <w:t>30.12.2026</w:t>
            </w:r>
          </w:p>
        </w:tc>
        <w:tc>
          <w:tcPr>
            <w:tcW w:type="dxa" w:w="1344"/>
            <w:shd w:fill="2E5C8A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color w:val="FFE9C0"/>
                <w:sz w:val="11"/>
              </w:rPr>
              <w:t>30.12.2026</w:t>
            </w:r>
          </w:p>
        </w:tc>
        <w:tc>
          <w:tcPr>
            <w:tcW w:type="dxa" w:w="1344"/>
            <w:shd w:fill="2E5C8A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color w:val="FFE9C0"/>
                <w:sz w:val="11"/>
              </w:rPr>
              <w:t>30.06.2027 *</w:t>
            </w:r>
          </w:p>
        </w:tc>
        <w:tc>
          <w:tcPr>
            <w:tcW w:type="dxa" w:w="1344"/>
            <w:shd w:fill="2E5C8A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color w:val="FFE9C0"/>
                <w:sz w:val="11"/>
              </w:rPr>
              <w:t>30.06.2027</w:t>
              <w:br/>
              <w:t>30.12.2026 – EUTR</w:t>
            </w:r>
          </w:p>
        </w:tc>
        <w:tc>
          <w:tcPr>
            <w:tcW w:type="dxa" w:w="1344"/>
            <w:shd w:fill="2E5C8A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color w:val="FFE9C0"/>
                <w:sz w:val="11"/>
              </w:rPr>
              <w:t>30.12.2026</w:t>
            </w:r>
          </w:p>
        </w:tc>
        <w:tc>
          <w:tcPr>
            <w:tcW w:type="dxa" w:w="1344"/>
            <w:shd w:fill="2E5C8A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color w:val="FFE9C0"/>
                <w:sz w:val="11"/>
              </w:rPr>
              <w:t>30.12.2026</w:t>
            </w:r>
          </w:p>
        </w:tc>
        <w:tc>
          <w:tcPr>
            <w:tcW w:type="dxa" w:w="1344"/>
            <w:shd w:fill="2E5C8A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color w:val="FFE9C0"/>
                <w:sz w:val="11"/>
              </w:rPr>
              <w:t>30.12.2026</w:t>
            </w:r>
          </w:p>
        </w:tc>
        <w:tc>
          <w:tcPr>
            <w:tcW w:type="dxa" w:w="1344"/>
            <w:shd w:fill="2E5C8A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color w:val="FFE9C0"/>
                <w:sz w:val="11"/>
              </w:rPr>
              <w:t>30.12.2026</w:t>
            </w:r>
          </w:p>
        </w:tc>
        <w:tc>
          <w:tcPr>
            <w:tcW w:type="dxa" w:w="1344"/>
            <w:shd w:fill="2E5C8A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color w:val="FFE9C0"/>
                <w:sz w:val="11"/>
              </w:rPr>
              <w:t>до 31.12.2029</w:t>
            </w:r>
          </w:p>
        </w:tc>
        <w:tc>
          <w:tcPr>
            <w:tcW w:type="dxa" w:w="1620"/>
            <w:vMerge/>
            <w:shd w:fill="2E5C8A" w:val="clear"/>
          </w:tcPr>
          <w:p/>
        </w:tc>
      </w:tr>
      <w:tr>
        <w:tc>
          <w:tcPr>
            <w:tcW w:type="dxa" w:w="2494"/>
            <w:gridSpan w:val="14"/>
            <w:shd w:fill="1F4E79" w:val="clear"/>
          </w:tcPr>
          <w:p>
            <w:pPr>
              <w:spacing w:before="0" w:after="0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1.  РЕГИСТРАЦИЯ И ОРГАНИЗАЦИЯ</w:t>
            </w:r>
          </w:p>
        </w:tc>
      </w:tr>
      <w:tr>
        <w:tc>
          <w:tcPr>
            <w:tcW w:type="dxa" w:w="397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sz w:val="12"/>
              </w:rPr>
              <w:t>1</w:t>
            </w:r>
          </w:p>
        </w:tc>
        <w:tc>
          <w:tcPr>
            <w:tcW w:type="dxa" w:w="3402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Регистрация в Информационната система на EUDR</w:t>
            </w:r>
          </w:p>
        </w:tc>
        <w:tc>
          <w:tcPr>
            <w:tcW w:type="dxa" w:w="1417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чл. 5(2), чл. 33</w:t>
            </w:r>
          </w:p>
        </w:tc>
        <w:tc>
          <w:tcPr>
            <w:tcW w:type="dxa" w:w="164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преди първото пускане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249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SME downstream оператори и SME търговци не се регистрират</w:t>
            </w:r>
          </w:p>
        </w:tc>
      </w:tr>
      <w:tr>
        <w:tc>
          <w:tcPr>
            <w:tcW w:type="dxa" w:w="397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sz w:val="12"/>
              </w:rPr>
              <w:t>2</w:t>
            </w:r>
          </w:p>
        </w:tc>
        <w:tc>
          <w:tcPr>
            <w:tcW w:type="dxa" w:w="3402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Оторизиран представител в ЕС</w:t>
            </w:r>
          </w:p>
        </w:tc>
        <w:tc>
          <w:tcPr>
            <w:tcW w:type="dxa" w:w="1417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чл. 6</w:t>
            </w:r>
          </w:p>
        </w:tc>
        <w:tc>
          <w:tcPr>
            <w:tcW w:type="dxa" w:w="164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преди първото пускане</w:t>
            </w:r>
          </w:p>
        </w:tc>
        <w:tc>
          <w:tcPr>
            <w:tcW w:type="dxa" w:w="1344"/>
            <w:shd w:fill="FFF2CC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8A4B00"/>
                <w:sz w:val="12"/>
              </w:rPr>
              <w:t>само</w:t>
              <w:br/>
              <w:t>извън ЕС</w:t>
            </w:r>
          </w:p>
        </w:tc>
        <w:tc>
          <w:tcPr>
            <w:tcW w:type="dxa" w:w="1344"/>
            <w:shd w:fill="FFF2CC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8A4B00"/>
                <w:sz w:val="12"/>
              </w:rPr>
              <w:t>само</w:t>
              <w:br/>
              <w:t>извън ЕС</w:t>
            </w:r>
          </w:p>
        </w:tc>
        <w:tc>
          <w:tcPr>
            <w:tcW w:type="dxa" w:w="1344"/>
            <w:shd w:fill="FFF2CC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8A4B00"/>
                <w:sz w:val="12"/>
              </w:rPr>
              <w:t>само</w:t>
              <w:br/>
              <w:t>извън ЕС</w:t>
            </w:r>
          </w:p>
        </w:tc>
        <w:tc>
          <w:tcPr>
            <w:tcW w:type="dxa" w:w="1344"/>
            <w:shd w:fill="FFF2CC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8A4B00"/>
                <w:sz w:val="12"/>
              </w:rPr>
              <w:t>само</w:t>
              <w:br/>
              <w:t>извън ЕС</w:t>
            </w:r>
          </w:p>
        </w:tc>
        <w:tc>
          <w:tcPr>
            <w:tcW w:type="dxa" w:w="1344"/>
            <w:shd w:fill="FFF2CC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8A4B00"/>
                <w:sz w:val="12"/>
              </w:rPr>
              <w:t>само</w:t>
              <w:br/>
              <w:t>извън ЕС</w:t>
            </w:r>
          </w:p>
        </w:tc>
        <w:tc>
          <w:tcPr>
            <w:tcW w:type="dxa" w:w="1344"/>
            <w:shd w:fill="FFF2CC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8A4B00"/>
                <w:sz w:val="12"/>
              </w:rPr>
              <w:t>само</w:t>
              <w:br/>
              <w:t>извън ЕС</w:t>
            </w:r>
          </w:p>
        </w:tc>
        <w:tc>
          <w:tcPr>
            <w:tcW w:type="dxa" w:w="1344"/>
            <w:shd w:fill="FFF2CC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8A4B00"/>
                <w:sz w:val="12"/>
              </w:rPr>
              <w:t>само</w:t>
              <w:br/>
              <w:t>извън ЕС</w:t>
            </w:r>
          </w:p>
        </w:tc>
        <w:tc>
          <w:tcPr>
            <w:tcW w:type="dxa" w:w="1344"/>
            <w:shd w:fill="FFF2CC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8A4B00"/>
                <w:sz w:val="12"/>
              </w:rPr>
              <w:t>само</w:t>
              <w:br/>
              <w:t>извън ЕС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249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задължително само ако операторът е установен извън ЕС</w:t>
            </w:r>
          </w:p>
        </w:tc>
      </w:tr>
      <w:tr>
        <w:tc>
          <w:tcPr>
            <w:tcW w:type="dxa" w:w="2494"/>
            <w:gridSpan w:val="14"/>
            <w:shd w:fill="1F4E79" w:val="clear"/>
          </w:tcPr>
          <w:p>
            <w:pPr>
              <w:spacing w:before="0" w:after="0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2.  СЪБИРАНЕ НА ИНФОРМАЦИЯ  (чл. 9)</w:t>
            </w:r>
          </w:p>
        </w:tc>
      </w:tr>
      <w:tr>
        <w:tc>
          <w:tcPr>
            <w:tcW w:type="dxa" w:w="397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sz w:val="12"/>
              </w:rPr>
              <w:t>3</w:t>
            </w:r>
          </w:p>
        </w:tc>
        <w:tc>
          <w:tcPr>
            <w:tcW w:type="dxa" w:w="3402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Описание на продукта, КН / ХС код и количество</w:t>
            </w:r>
          </w:p>
        </w:tc>
        <w:tc>
          <w:tcPr>
            <w:tcW w:type="dxa" w:w="1417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чл. 9(1)(a)</w:t>
            </w:r>
          </w:p>
        </w:tc>
        <w:tc>
          <w:tcPr>
            <w:tcW w:type="dxa" w:w="164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30.12.2026 / 30.06.2027 *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249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</w:r>
          </w:p>
        </w:tc>
      </w:tr>
      <w:tr>
        <w:tc>
          <w:tcPr>
            <w:tcW w:type="dxa" w:w="397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sz w:val="12"/>
              </w:rPr>
              <w:t>4</w:t>
            </w:r>
          </w:p>
        </w:tc>
        <w:tc>
          <w:tcPr>
            <w:tcW w:type="dxa" w:w="3402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Идентификация на доставчик и клиент</w:t>
            </w:r>
          </w:p>
        </w:tc>
        <w:tc>
          <w:tcPr>
            <w:tcW w:type="dxa" w:w="1417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чл. 9(1)(b), чл. 5(3)(a)</w:t>
            </w:r>
          </w:p>
        </w:tc>
        <w:tc>
          <w:tcPr>
            <w:tcW w:type="dxa" w:w="164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30.12.2026 – всички размери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249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пази се 5 години; при EUTR – записи по чл. 5</w:t>
            </w:r>
          </w:p>
        </w:tc>
      </w:tr>
      <w:tr>
        <w:tc>
          <w:tcPr>
            <w:tcW w:type="dxa" w:w="397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sz w:val="12"/>
              </w:rPr>
              <w:t>5</w:t>
            </w:r>
          </w:p>
        </w:tc>
        <w:tc>
          <w:tcPr>
            <w:tcW w:type="dxa" w:w="3402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Държава на производство</w:t>
            </w:r>
          </w:p>
        </w:tc>
        <w:tc>
          <w:tcPr>
            <w:tcW w:type="dxa" w:w="1417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чл. 9(1)(d)</w:t>
            </w:r>
          </w:p>
        </w:tc>
        <w:tc>
          <w:tcPr>
            <w:tcW w:type="dxa" w:w="164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30.12.2026 / 30.06.2027 *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FF2CC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8A4B00"/>
                <w:sz w:val="12"/>
              </w:rPr>
              <w:t>държава</w:t>
              <w:br/>
              <w:t>на добив</w:t>
            </w:r>
          </w:p>
        </w:tc>
        <w:tc>
          <w:tcPr>
            <w:tcW w:type="dxa" w:w="249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EUTR изисква държава/регион на добив, но не и геолокация</w:t>
            </w:r>
          </w:p>
        </w:tc>
      </w:tr>
      <w:tr>
        <w:tc>
          <w:tcPr>
            <w:tcW w:type="dxa" w:w="397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sz w:val="12"/>
              </w:rPr>
              <w:t>6</w:t>
            </w:r>
          </w:p>
        </w:tc>
        <w:tc>
          <w:tcPr>
            <w:tcW w:type="dxa" w:w="3402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Геолокация на производствените площи</w:t>
            </w:r>
          </w:p>
        </w:tc>
        <w:tc>
          <w:tcPr>
            <w:tcW w:type="dxa" w:w="1417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чл. 9(1)(d)</w:t>
            </w:r>
          </w:p>
        </w:tc>
        <w:tc>
          <w:tcPr>
            <w:tcW w:type="dxa" w:w="164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30.12.2026 / 30.06.2027 *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FFF2CC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8A4B00"/>
                <w:sz w:val="12"/>
              </w:rPr>
              <w:t>пощенски</w:t>
              <w:br/>
              <w:t>адрес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249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първичен оператор: пощенски адрес вместо координати, ако адресът съответства на местоположението</w:t>
            </w:r>
          </w:p>
        </w:tc>
      </w:tr>
      <w:tr>
        <w:tc>
          <w:tcPr>
            <w:tcW w:type="dxa" w:w="397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sz w:val="12"/>
              </w:rPr>
              <w:t>7</w:t>
            </w:r>
          </w:p>
        </w:tc>
        <w:tc>
          <w:tcPr>
            <w:tcW w:type="dxa" w:w="3402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Дата или период на производство</w:t>
            </w:r>
          </w:p>
        </w:tc>
        <w:tc>
          <w:tcPr>
            <w:tcW w:type="dxa" w:w="1417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чл. 9(1)(e)</w:t>
            </w:r>
          </w:p>
        </w:tc>
        <w:tc>
          <w:tcPr>
            <w:tcW w:type="dxa" w:w="164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30.12.2026 / 30.06.2027 *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FF2CC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8A4B00"/>
                <w:sz w:val="12"/>
              </w:rPr>
              <w:t>дата на</w:t>
              <w:br/>
              <w:t>добив</w:t>
            </w:r>
          </w:p>
        </w:tc>
        <w:tc>
          <w:tcPr>
            <w:tcW w:type="dxa" w:w="249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</w:r>
          </w:p>
        </w:tc>
      </w:tr>
      <w:tr>
        <w:tc>
          <w:tcPr>
            <w:tcW w:type="dxa" w:w="397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sz w:val="12"/>
              </w:rPr>
              <w:t>8</w:t>
            </w:r>
          </w:p>
        </w:tc>
        <w:tc>
          <w:tcPr>
            <w:tcW w:type="dxa" w:w="3402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Доказателства за законност на производството</w:t>
            </w:r>
          </w:p>
        </w:tc>
        <w:tc>
          <w:tcPr>
            <w:tcW w:type="dxa" w:w="1417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чл. 9(1)(f), чл. 3(1)(b)</w:t>
            </w:r>
          </w:p>
        </w:tc>
        <w:tc>
          <w:tcPr>
            <w:tcW w:type="dxa" w:w="164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30.12.2026 / 30.06.2027 *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249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EUTR покрива само законност – не и обезлесяване</w:t>
            </w:r>
          </w:p>
        </w:tc>
      </w:tr>
      <w:tr>
        <w:tc>
          <w:tcPr>
            <w:tcW w:type="dxa" w:w="397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sz w:val="12"/>
              </w:rPr>
              <w:t>9</w:t>
            </w:r>
          </w:p>
        </w:tc>
        <w:tc>
          <w:tcPr>
            <w:tcW w:type="dxa" w:w="3402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Доказателства за „без обезлесяване“ и „без деградация“ след 31.12.2020</w:t>
            </w:r>
          </w:p>
        </w:tc>
        <w:tc>
          <w:tcPr>
            <w:tcW w:type="dxa" w:w="1417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чл. 3(1)(a), чл. 9(1)(g)</w:t>
            </w:r>
          </w:p>
        </w:tc>
        <w:tc>
          <w:tcPr>
            <w:tcW w:type="dxa" w:w="164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30.12.2026 / 30.06.2027 *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249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новата част спрямо EUTR – липсва в стария режим</w:t>
            </w:r>
          </w:p>
        </w:tc>
      </w:tr>
      <w:tr>
        <w:tc>
          <w:tcPr>
            <w:tcW w:type="dxa" w:w="397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sz w:val="12"/>
              </w:rPr>
              <w:t>10</w:t>
            </w:r>
          </w:p>
        </w:tc>
        <w:tc>
          <w:tcPr>
            <w:tcW w:type="dxa" w:w="3402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Вид дървесина – род и вид (ботаническо наименование)</w:t>
            </w:r>
          </w:p>
        </w:tc>
        <w:tc>
          <w:tcPr>
            <w:tcW w:type="dxa" w:w="1417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чл. 9(1)(c)</w:t>
            </w:r>
          </w:p>
        </w:tc>
        <w:tc>
          <w:tcPr>
            <w:tcW w:type="dxa" w:w="164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30.12.2026 / 30.06.2027 *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FF2CC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8A4B00"/>
                <w:sz w:val="12"/>
              </w:rPr>
              <w:t>вид по</w:t>
              <w:br/>
              <w:t>EUTR</w:t>
            </w:r>
          </w:p>
        </w:tc>
        <w:tc>
          <w:tcPr>
            <w:tcW w:type="dxa" w:w="249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EUDR: системата изисква ниво „вид“, родът не е достатъчен</w:t>
            </w:r>
          </w:p>
        </w:tc>
      </w:tr>
      <w:tr>
        <w:tc>
          <w:tcPr>
            <w:tcW w:type="dxa" w:w="2494"/>
            <w:gridSpan w:val="14"/>
            <w:shd w:fill="1F4E79" w:val="clear"/>
          </w:tcPr>
          <w:p>
            <w:pPr>
              <w:spacing w:before="0" w:after="0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3.  ОЦЕНКА И СМЕКЧАВАНЕ НА РИСК  (чл. 10 – 11)</w:t>
            </w:r>
          </w:p>
        </w:tc>
      </w:tr>
      <w:tr>
        <w:tc>
          <w:tcPr>
            <w:tcW w:type="dxa" w:w="397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sz w:val="12"/>
              </w:rPr>
              <w:t>11</w:t>
            </w:r>
          </w:p>
        </w:tc>
        <w:tc>
          <w:tcPr>
            <w:tcW w:type="dxa" w:w="3402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Оценка на риска</w:t>
            </w:r>
          </w:p>
        </w:tc>
        <w:tc>
          <w:tcPr>
            <w:tcW w:type="dxa" w:w="1417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чл. 10; чл. 13 – изключение</w:t>
            </w:r>
          </w:p>
        </w:tc>
        <w:tc>
          <w:tcPr>
            <w:tcW w:type="dxa" w:w="164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30.12.2026 / 30.06.2027 *</w:t>
            </w:r>
          </w:p>
        </w:tc>
        <w:tc>
          <w:tcPr>
            <w:tcW w:type="dxa" w:w="1344"/>
            <w:shd w:fill="FFF2CC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8A4B00"/>
                <w:sz w:val="12"/>
              </w:rPr>
              <w:t>само при</w:t>
              <w:br/>
              <w:t>STANDARD/HIGH</w:t>
            </w:r>
          </w:p>
        </w:tc>
        <w:tc>
          <w:tcPr>
            <w:tcW w:type="dxa" w:w="1344"/>
            <w:shd w:fill="FFF2CC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8A4B00"/>
                <w:sz w:val="12"/>
              </w:rPr>
              <w:t>само при</w:t>
              <w:br/>
              <w:t>STANDARD/HIGH</w:t>
            </w:r>
          </w:p>
        </w:tc>
        <w:tc>
          <w:tcPr>
            <w:tcW w:type="dxa" w:w="1344"/>
            <w:shd w:fill="FFF2CC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8A4B00"/>
                <w:sz w:val="12"/>
              </w:rPr>
              <w:t>само при</w:t>
              <w:br/>
              <w:t>STANDARD/HIGH</w:t>
            </w:r>
          </w:p>
        </w:tc>
        <w:tc>
          <w:tcPr>
            <w:tcW w:type="dxa" w:w="1344"/>
            <w:shd w:fill="FFF2CC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8A4B00"/>
                <w:sz w:val="12"/>
              </w:rPr>
              <w:t>опростена</w:t>
              <w:br/>
              <w:t>оценка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249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не се изисква, ако ВСИЧКИ съответни стоки произхождат само от държави с нисък риск и е доказан незначителен риск от заобикаляне/смесване (чл. 13)</w:t>
            </w:r>
          </w:p>
        </w:tc>
      </w:tr>
      <w:tr>
        <w:tc>
          <w:tcPr>
            <w:tcW w:type="dxa" w:w="397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sz w:val="12"/>
              </w:rPr>
              <w:t>12</w:t>
            </w:r>
          </w:p>
        </w:tc>
        <w:tc>
          <w:tcPr>
            <w:tcW w:type="dxa" w:w="3402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Смекчаване на риска до „незначителен“</w:t>
            </w:r>
          </w:p>
        </w:tc>
        <w:tc>
          <w:tcPr>
            <w:tcW w:type="dxa" w:w="1417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чл. 11, чл. 4(3); чл. 13</w:t>
            </w:r>
          </w:p>
        </w:tc>
        <w:tc>
          <w:tcPr>
            <w:tcW w:type="dxa" w:w="164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30.12.2026 / 30.06.2027 *</w:t>
            </w:r>
          </w:p>
        </w:tc>
        <w:tc>
          <w:tcPr>
            <w:tcW w:type="dxa" w:w="1344"/>
            <w:shd w:fill="FFF2CC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8A4B00"/>
                <w:sz w:val="12"/>
              </w:rPr>
              <w:t>само при</w:t>
              <w:br/>
              <w:t>STANDARD/HIGH</w:t>
            </w:r>
          </w:p>
        </w:tc>
        <w:tc>
          <w:tcPr>
            <w:tcW w:type="dxa" w:w="1344"/>
            <w:shd w:fill="FFF2CC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8A4B00"/>
                <w:sz w:val="12"/>
              </w:rPr>
              <w:t>само при</w:t>
              <w:br/>
              <w:t>STANDARD/HIGH</w:t>
            </w:r>
          </w:p>
        </w:tc>
        <w:tc>
          <w:tcPr>
            <w:tcW w:type="dxa" w:w="1344"/>
            <w:shd w:fill="FFF2CC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8A4B00"/>
                <w:sz w:val="12"/>
              </w:rPr>
              <w:t>само при</w:t>
              <w:br/>
              <w:t>STANDARD/HIGH</w:t>
            </w:r>
          </w:p>
        </w:tc>
        <w:tc>
          <w:tcPr>
            <w:tcW w:type="dxa" w:w="1344"/>
            <w:shd w:fill="FFF2CC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8A4B00"/>
                <w:sz w:val="12"/>
              </w:rPr>
              <w:t>опростено</w:t>
              <w:br/>
              <w:t>смекчаване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249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без смекчаване до незначителен риск – забрана за пускане; при изцяло LOW произход не се изисква</w:t>
            </w:r>
          </w:p>
        </w:tc>
      </w:tr>
      <w:tr>
        <w:tc>
          <w:tcPr>
            <w:tcW w:type="dxa" w:w="397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sz w:val="12"/>
              </w:rPr>
              <w:t>13</w:t>
            </w:r>
          </w:p>
        </w:tc>
        <w:tc>
          <w:tcPr>
            <w:tcW w:type="dxa" w:w="3402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Документиране и периодичен преглед на оценката</w:t>
            </w:r>
          </w:p>
        </w:tc>
        <w:tc>
          <w:tcPr>
            <w:tcW w:type="dxa" w:w="1417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чл. 10(2), чл. 12; чл. 13</w:t>
            </w:r>
          </w:p>
        </w:tc>
        <w:tc>
          <w:tcPr>
            <w:tcW w:type="dxa" w:w="164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30.12.2026 / 30.06.2027 *</w:t>
            </w:r>
          </w:p>
        </w:tc>
        <w:tc>
          <w:tcPr>
            <w:tcW w:type="dxa" w:w="1344"/>
            <w:shd w:fill="FFF2CC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8A4B00"/>
                <w:sz w:val="12"/>
              </w:rPr>
              <w:t>само при</w:t>
              <w:br/>
              <w:t>STANDARD/HIGH</w:t>
            </w:r>
          </w:p>
        </w:tc>
        <w:tc>
          <w:tcPr>
            <w:tcW w:type="dxa" w:w="1344"/>
            <w:shd w:fill="FFF2CC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8A4B00"/>
                <w:sz w:val="12"/>
              </w:rPr>
              <w:t>само при</w:t>
              <w:br/>
              <w:t>STANDARD/HIGH</w:t>
            </w:r>
          </w:p>
        </w:tc>
        <w:tc>
          <w:tcPr>
            <w:tcW w:type="dxa" w:w="1344"/>
            <w:shd w:fill="FFF2CC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8A4B00"/>
                <w:sz w:val="12"/>
              </w:rPr>
              <w:t>само при</w:t>
              <w:br/>
              <w:t>STANDARD/HIGH</w:t>
            </w:r>
          </w:p>
        </w:tc>
        <w:tc>
          <w:tcPr>
            <w:tcW w:type="dxa" w:w="1344"/>
            <w:shd w:fill="FFF2CC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8A4B00"/>
                <w:sz w:val="12"/>
              </w:rPr>
              <w:t>опростено</w:t>
              <w:br/>
              <w:t>документиране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249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при LOW – документира се оценката по чл. 13 (сложност на веригата + риск от заобикаляне)</w:t>
            </w:r>
          </w:p>
        </w:tc>
      </w:tr>
      <w:tr>
        <w:tc>
          <w:tcPr>
            <w:tcW w:type="dxa" w:w="2494"/>
            <w:gridSpan w:val="14"/>
            <w:shd w:fill="1F4E79" w:val="clear"/>
          </w:tcPr>
          <w:p>
            <w:pPr>
              <w:spacing w:before="0" w:after="0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4.  ПОДАВАНЕ И ПРОСЛЕДИМОСТ</w:t>
            </w:r>
          </w:p>
        </w:tc>
      </w:tr>
      <w:tr>
        <w:tc>
          <w:tcPr>
            <w:tcW w:type="dxa" w:w="397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sz w:val="12"/>
              </w:rPr>
              <w:t>14</w:t>
            </w:r>
          </w:p>
        </w:tc>
        <w:tc>
          <w:tcPr>
            <w:tcW w:type="dxa" w:w="3402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Подаване на ДНП (DDS) в Информационната система</w:t>
            </w:r>
          </w:p>
        </w:tc>
        <w:tc>
          <w:tcPr>
            <w:tcW w:type="dxa" w:w="1417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чл. 4(2), чл. 33</w:t>
            </w:r>
          </w:p>
        </w:tc>
        <w:tc>
          <w:tcPr>
            <w:tcW w:type="dxa" w:w="164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30.12.2026 / 30.06.2027 *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249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първичният оператор подава опростена декларация вместо ДНП</w:t>
            </w:r>
          </w:p>
        </w:tc>
      </w:tr>
      <w:tr>
        <w:tc>
          <w:tcPr>
            <w:tcW w:type="dxa" w:w="397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sz w:val="12"/>
              </w:rPr>
              <w:t>15</w:t>
            </w:r>
          </w:p>
        </w:tc>
        <w:tc>
          <w:tcPr>
            <w:tcW w:type="dxa" w:w="3402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Еднократна опростена декларация</w:t>
            </w:r>
          </w:p>
        </w:tc>
        <w:tc>
          <w:tcPr>
            <w:tcW w:type="dxa" w:w="1417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чл. 4a</w:t>
            </w:r>
          </w:p>
        </w:tc>
        <w:tc>
          <w:tcPr>
            <w:tcW w:type="dxa" w:w="164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30.06.2027</w:t>
              <w:br/>
              <w:t>(30.12.2026 – EUTR)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249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само микро/малък първичен оператор в страна с нисък риск</w:t>
            </w:r>
          </w:p>
        </w:tc>
      </w:tr>
      <w:tr>
        <w:tc>
          <w:tcPr>
            <w:tcW w:type="dxa" w:w="397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sz w:val="12"/>
              </w:rPr>
              <w:t>16</w:t>
            </w:r>
          </w:p>
        </w:tc>
        <w:tc>
          <w:tcPr>
            <w:tcW w:type="dxa" w:w="3402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Събиране на реф. номера на ДНП / идентификатори</w:t>
            </w:r>
          </w:p>
        </w:tc>
        <w:tc>
          <w:tcPr>
            <w:tcW w:type="dxa" w:w="1417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чл. 5(3)(b)</w:t>
            </w:r>
          </w:p>
        </w:tc>
        <w:tc>
          <w:tcPr>
            <w:tcW w:type="dxa" w:w="164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30.12.2026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249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само първият надолу по веригата; не се препредава</w:t>
            </w:r>
          </w:p>
        </w:tc>
      </w:tr>
      <w:tr>
        <w:tc>
          <w:tcPr>
            <w:tcW w:type="dxa" w:w="397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sz w:val="12"/>
              </w:rPr>
              <w:t>17</w:t>
            </w:r>
          </w:p>
        </w:tc>
        <w:tc>
          <w:tcPr>
            <w:tcW w:type="dxa" w:w="3402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Предоставяне на реф. номер на клиентите надолу</w:t>
            </w:r>
          </w:p>
        </w:tc>
        <w:tc>
          <w:tcPr>
            <w:tcW w:type="dxa" w:w="1417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чл. 4(7)</w:t>
            </w:r>
          </w:p>
        </w:tc>
        <w:tc>
          <w:tcPr>
            <w:tcW w:type="dxa" w:w="164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30.12.2026 / 30.06.2027 *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249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</w:r>
          </w:p>
        </w:tc>
      </w:tr>
      <w:tr>
        <w:tc>
          <w:tcPr>
            <w:tcW w:type="dxa" w:w="397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sz w:val="12"/>
              </w:rPr>
              <w:t>18</w:t>
            </w:r>
          </w:p>
        </w:tc>
        <w:tc>
          <w:tcPr>
            <w:tcW w:type="dxa" w:w="3402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Съхраняване на записи 5 години</w:t>
            </w:r>
          </w:p>
        </w:tc>
        <w:tc>
          <w:tcPr>
            <w:tcW w:type="dxa" w:w="1417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чл. 12, чл. 5(4)</w:t>
            </w:r>
          </w:p>
        </w:tc>
        <w:tc>
          <w:tcPr>
            <w:tcW w:type="dxa" w:w="164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от първото пускане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249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</w:r>
          </w:p>
        </w:tc>
      </w:tr>
      <w:tr>
        <w:tc>
          <w:tcPr>
            <w:tcW w:type="dxa" w:w="2494"/>
            <w:gridSpan w:val="14"/>
            <w:shd w:fill="1F4E79" w:val="clear"/>
          </w:tcPr>
          <w:p>
            <w:pPr>
              <w:spacing w:before="0" w:after="0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5.  ТЕКУЩИ ЗАДЪЛЖЕНИЯ</w:t>
            </w:r>
          </w:p>
        </w:tc>
      </w:tr>
      <w:tr>
        <w:tc>
          <w:tcPr>
            <w:tcW w:type="dxa" w:w="397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sz w:val="12"/>
              </w:rPr>
              <w:t>19</w:t>
            </w:r>
          </w:p>
        </w:tc>
        <w:tc>
          <w:tcPr>
            <w:tcW w:type="dxa" w:w="3402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Уведомяване на органите и клиентите при основателни съмнения</w:t>
            </w:r>
          </w:p>
        </w:tc>
        <w:tc>
          <w:tcPr>
            <w:tcW w:type="dxa" w:w="1417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чл. 5(5)</w:t>
            </w:r>
          </w:p>
        </w:tc>
        <w:tc>
          <w:tcPr>
            <w:tcW w:type="dxa" w:w="164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30.12.2026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249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</w:r>
          </w:p>
        </w:tc>
      </w:tr>
      <w:tr>
        <w:tc>
          <w:tcPr>
            <w:tcW w:type="dxa" w:w="397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sz w:val="12"/>
              </w:rPr>
              <w:t>20</w:t>
            </w:r>
          </w:p>
        </w:tc>
        <w:tc>
          <w:tcPr>
            <w:tcW w:type="dxa" w:w="3402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Проверка на надлежната проверка нагоре при съмнение</w:t>
            </w:r>
          </w:p>
        </w:tc>
        <w:tc>
          <w:tcPr>
            <w:tcW w:type="dxa" w:w="1417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чл. 5(6)</w:t>
            </w:r>
          </w:p>
        </w:tc>
        <w:tc>
          <w:tcPr>
            <w:tcW w:type="dxa" w:w="164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30.12.2026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13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9C0006"/>
                <w:sz w:val="24"/>
              </w:rPr>
              <w:t>✗</w:t>
            </w:r>
          </w:p>
        </w:tc>
        <w:tc>
          <w:tcPr>
            <w:tcW w:type="dxa" w:w="249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само non-SME downstream оператори и non-SME търговци</w:t>
            </w:r>
          </w:p>
        </w:tc>
      </w:tr>
      <w:tr>
        <w:tc>
          <w:tcPr>
            <w:tcW w:type="dxa" w:w="397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sz w:val="12"/>
              </w:rPr>
              <w:t>21</w:t>
            </w:r>
          </w:p>
        </w:tc>
        <w:tc>
          <w:tcPr>
            <w:tcW w:type="dxa" w:w="3402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Съдействие на компетентните органи и митниците</w:t>
            </w:r>
          </w:p>
        </w:tc>
        <w:tc>
          <w:tcPr>
            <w:tcW w:type="dxa" w:w="1417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чл. 5(7), чл. 14</w:t>
            </w:r>
          </w:p>
        </w:tc>
        <w:tc>
          <w:tcPr>
            <w:tcW w:type="dxa" w:w="164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  <w:t>30.12.2026 / 30.06.2027 *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13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24"/>
              </w:rPr>
              <w:t>✓</w:t>
            </w:r>
          </w:p>
        </w:tc>
        <w:tc>
          <w:tcPr>
            <w:tcW w:type="dxa" w:w="249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sz w:val="12"/>
              </w:rPr>
            </w:r>
          </w:p>
        </w:tc>
      </w:tr>
    </w:tbl>
    <w:p/>
    <w:p>
      <w:r>
        <w:rPr>
          <w:i/>
          <w:color w:val="444444"/>
          <w:sz w:val="14"/>
        </w:rPr>
        <w:t>* 30.06.2027 важи само ако: (1) предприятието е било микро/малко към 31.12.2024 г.; и (2) продуктът НЕ е в Приложение I на EUTR. Иначе срокът е 30.12.2026.  EUTR (Регламент (ЕС) 995/2010) се отменя от 30.12.2026, но продължава да се прилага до 31.12.2029 за дървесина, произведена преди 29.06.2023 и пусната на пазара от 30.12.2026; след 31.12.2029 се прилага EUDR независимо от датата на добив.</w:t>
      </w:r>
    </w:p>
    <w:p>
      <w:r>
        <w:br w:type="page"/>
      </w:r>
    </w:p>
    <w:p>
      <w:r>
        <w:rPr>
          <w:b/>
          <w:color w:val="1F4E79"/>
          <w:sz w:val="32"/>
        </w:rPr>
        <w:t>Условни задължения — пълна разбивка</w:t>
      </w:r>
    </w:p>
    <w:p>
      <w:r>
        <w:rPr>
          <w:i/>
          <w:color w:val="444444"/>
          <w:sz w:val="17"/>
        </w:rPr>
        <w:t>Всяко условие от матрицата е разписано изцяло: кога важи, какво точно се изисква, на какво основание и какво следва, ако условието не е изпълнено.</w:t>
      </w:r>
    </w:p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0"/>
        <w:gridCol w:w="3240"/>
        <w:gridCol w:w="3240"/>
        <w:gridCol w:w="3240"/>
        <w:gridCol w:w="3240"/>
        <w:gridCol w:w="3240"/>
        <w:gridCol w:w="3240"/>
      </w:tblGrid>
      <w:tr>
        <w:tc>
          <w:tcPr>
            <w:tcW w:type="dxa" w:w="567"/>
            <w:shd w:fill="2E5C8A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№</w:t>
            </w:r>
          </w:p>
        </w:tc>
        <w:tc>
          <w:tcPr>
            <w:tcW w:type="dxa" w:w="2608"/>
            <w:shd w:fill="2E5C8A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Роля</w:t>
            </w:r>
          </w:p>
        </w:tc>
        <w:tc>
          <w:tcPr>
            <w:tcW w:type="dxa" w:w="4195"/>
            <w:shd w:fill="2E5C8A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Условие — кога важи</w:t>
            </w:r>
          </w:p>
        </w:tc>
        <w:tc>
          <w:tcPr>
            <w:tcW w:type="dxa" w:w="4309"/>
            <w:shd w:fill="2E5C8A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Какво точно се изисква</w:t>
            </w:r>
          </w:p>
        </w:tc>
        <w:tc>
          <w:tcPr>
            <w:tcW w:type="dxa" w:w="2041"/>
            <w:shd w:fill="2E5C8A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Правно основание</w:t>
            </w:r>
          </w:p>
        </w:tc>
        <w:tc>
          <w:tcPr>
            <w:tcW w:type="dxa" w:w="1644"/>
            <w:shd w:fill="2E5C8A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В сила от</w:t>
            </w:r>
          </w:p>
        </w:tc>
        <w:tc>
          <w:tcPr>
            <w:tcW w:type="dxa" w:w="3515"/>
            <w:shd w:fill="2E5C8A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4"/>
              </w:rPr>
              <w:t>Ако условието не е изпълнено</w:t>
            </w:r>
          </w:p>
        </w:tc>
      </w:tr>
      <w:tr>
        <w:tc>
          <w:tcPr>
            <w:tcW w:type="dxa" w:w="567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sz w:val="14"/>
              </w:rPr>
              <w:t>У1</w:t>
            </w:r>
          </w:p>
        </w:tc>
        <w:tc>
          <w:tcPr>
            <w:tcW w:type="dxa" w:w="2608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Оператор — микро / малък,</w:t>
              <w:br/>
              <w:t>продукт извън Приложение I на EUTR</w:t>
            </w:r>
          </w:p>
        </w:tc>
        <w:tc>
          <w:tcPr>
            <w:tcW w:type="dxa" w:w="4195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Предприятието е било микро или малко към 31.12.2024 г.</w:t>
              <w:br/>
              <w:t>И продуктът НЕ е в Приложение I на EUTR.</w:t>
            </w:r>
          </w:p>
        </w:tc>
        <w:tc>
          <w:tcPr>
            <w:tcW w:type="dxa" w:w="4309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Отлагане на целия пакет задължения (чл. 3 – 13) с 6 месеца.</w:t>
            </w:r>
          </w:p>
        </w:tc>
        <w:tc>
          <w:tcPr>
            <w:tcW w:type="dxa" w:w="2041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чл. 38(3)</w:t>
            </w:r>
          </w:p>
        </w:tc>
        <w:tc>
          <w:tcPr>
            <w:tcW w:type="dxa" w:w="1644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sz w:val="14"/>
              </w:rPr>
              <w:t>30.06.2027</w:t>
            </w:r>
          </w:p>
        </w:tc>
        <w:tc>
          <w:tcPr>
            <w:tcW w:type="dxa" w:w="3515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Ако едно от двете условия липсва → 30.12.2026, както за големите.</w:t>
            </w:r>
          </w:p>
        </w:tc>
      </w:tr>
      <w:tr>
        <w:tc>
          <w:tcPr>
            <w:tcW w:type="dxa" w:w="567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sz w:val="14"/>
              </w:rPr>
              <w:t>У2</w:t>
            </w:r>
          </w:p>
        </w:tc>
        <w:tc>
          <w:tcPr>
            <w:tcW w:type="dxa" w:w="2608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Оператор — микро / малък,</w:t>
              <w:br/>
              <w:t>продукт по Приложение I на EUTR</w:t>
            </w:r>
          </w:p>
        </w:tc>
        <w:tc>
          <w:tcPr>
            <w:tcW w:type="dxa" w:w="4195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Продуктът е дървесина или дървен продукт по Приложение I на Регламент 995/2010</w:t>
              <w:br/>
              <w:t>(напр. 4401, 4403, 4407, 4410 – 4418, 9403 30 – 9403 60, ex 9403 91).</w:t>
            </w:r>
          </w:p>
        </w:tc>
        <w:tc>
          <w:tcPr>
            <w:tcW w:type="dxa" w:w="4309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Няма отлагане — прилага се общият срок 30.12.2026, независимо от размера.</w:t>
            </w:r>
          </w:p>
        </w:tc>
        <w:tc>
          <w:tcPr>
            <w:tcW w:type="dxa" w:w="2041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чл. 38(3) – изключение</w:t>
            </w:r>
          </w:p>
        </w:tc>
        <w:tc>
          <w:tcPr>
            <w:tcW w:type="dxa" w:w="1644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sz w:val="14"/>
              </w:rPr>
              <w:t>30.12.2026</w:t>
            </w:r>
          </w:p>
        </w:tc>
        <w:tc>
          <w:tcPr>
            <w:tcW w:type="dxa" w:w="3515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Столове по код 9401 НЕ са в EUTR Annex → за тях важи 30.06.2027.</w:t>
              <w:br/>
              <w:t>Маси по 9403 са в EUTR Annex → 30.12.2026.</w:t>
            </w:r>
          </w:p>
        </w:tc>
      </w:tr>
      <w:tr>
        <w:tc>
          <w:tcPr>
            <w:tcW w:type="dxa" w:w="567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sz w:val="14"/>
              </w:rPr>
              <w:t>У3</w:t>
            </w:r>
          </w:p>
        </w:tc>
        <w:tc>
          <w:tcPr>
            <w:tcW w:type="dxa" w:w="2608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Микро / малък първичен оператор</w:t>
              <w:br/>
              <w:t>(в страна с нисък риск)</w:t>
            </w:r>
          </w:p>
        </w:tc>
        <w:tc>
          <w:tcPr>
            <w:tcW w:type="dxa" w:w="4195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Физическо лице или микро/малко предприятие, установено в страна с нисък риск,</w:t>
              <w:br/>
              <w:t>което пуска на пазара или изнася продукция, която САМО е отгледало, добило или отгледало</w:t>
              <w:br/>
              <w:t>на собствени площи.</w:t>
            </w:r>
          </w:p>
        </w:tc>
        <w:tc>
          <w:tcPr>
            <w:tcW w:type="dxa" w:w="4309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Вместо ДНП за всяка пратка: еднократна опростена декларация (чл. 4a).</w:t>
              <w:br/>
              <w:t>Вместо геокоординати: пощенски адрес на площта или обекта, ако адресът</w:t>
              <w:br/>
              <w:t>съответства на географското местоположение.</w:t>
            </w:r>
          </w:p>
        </w:tc>
        <w:tc>
          <w:tcPr>
            <w:tcW w:type="dxa" w:w="2041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чл. 4a, чл. 9(1)(d)</w:t>
            </w:r>
          </w:p>
        </w:tc>
        <w:tc>
          <w:tcPr>
            <w:tcW w:type="dxa" w:w="1644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sz w:val="14"/>
              </w:rPr>
              <w:t>30.06.2027</w:t>
              <w:br/>
              <w:t>(30.12.2026 – EUTR)</w:t>
            </w:r>
          </w:p>
        </w:tc>
        <w:tc>
          <w:tcPr>
            <w:tcW w:type="dxa" w:w="3515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Ако не е първичен оператор → пълният режим на оператор, включително ДНП.</w:t>
            </w:r>
          </w:p>
        </w:tc>
      </w:tr>
      <w:tr>
        <w:tc>
          <w:tcPr>
            <w:tcW w:type="dxa" w:w="567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sz w:val="14"/>
              </w:rPr>
              <w:t>У4</w:t>
            </w:r>
          </w:p>
        </w:tc>
        <w:tc>
          <w:tcPr>
            <w:tcW w:type="dxa" w:w="2608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Всеки оператор, установен извън ЕС</w:t>
            </w:r>
          </w:p>
        </w:tc>
        <w:tc>
          <w:tcPr>
            <w:tcW w:type="dxa" w:w="4195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Седалище на оператора е извън Европейския съюз.</w:t>
            </w:r>
          </w:p>
        </w:tc>
        <w:tc>
          <w:tcPr>
            <w:tcW w:type="dxa" w:w="4309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Задължително оторизиран представител в ЕС, който подава ДНП или опростена</w:t>
              <w:br/>
              <w:t>декларация от името на оператора.</w:t>
            </w:r>
          </w:p>
        </w:tc>
        <w:tc>
          <w:tcPr>
            <w:tcW w:type="dxa" w:w="2041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чл. 6</w:t>
            </w:r>
          </w:p>
        </w:tc>
        <w:tc>
          <w:tcPr>
            <w:tcW w:type="dxa" w:w="1644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sz w:val="14"/>
              </w:rPr>
              <w:t>преди първото пускане</w:t>
            </w:r>
          </w:p>
        </w:tc>
        <w:tc>
          <w:tcPr>
            <w:tcW w:type="dxa" w:w="3515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Без представител не може да бъде подадена ДНП → продуктът не може да се пусне</w:t>
              <w:br/>
              <w:t>на пазара на ЕС или да се изнесе.</w:t>
            </w:r>
          </w:p>
        </w:tc>
      </w:tr>
      <w:tr>
        <w:tc>
          <w:tcPr>
            <w:tcW w:type="dxa" w:w="567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sz w:val="14"/>
              </w:rPr>
              <w:t>У5</w:t>
            </w:r>
          </w:p>
        </w:tc>
        <w:tc>
          <w:tcPr>
            <w:tcW w:type="dxa" w:w="2608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Всеки оператор</w:t>
            </w:r>
          </w:p>
        </w:tc>
        <w:tc>
          <w:tcPr>
            <w:tcW w:type="dxa" w:w="4195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Оценката на риска не може да бъде смекчена до „незначителен“ риск.</w:t>
            </w:r>
          </w:p>
        </w:tc>
        <w:tc>
          <w:tcPr>
            <w:tcW w:type="dxa" w:w="4309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Забрана за пускане на пазара, предоставяне на пазара или износ.</w:t>
            </w:r>
          </w:p>
        </w:tc>
        <w:tc>
          <w:tcPr>
            <w:tcW w:type="dxa" w:w="2041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чл. 4(3), чл. 11</w:t>
            </w:r>
          </w:p>
        </w:tc>
        <w:tc>
          <w:tcPr>
            <w:tcW w:type="dxa" w:w="1644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sz w:val="14"/>
              </w:rPr>
              <w:t>постоянно</w:t>
            </w:r>
          </w:p>
        </w:tc>
        <w:tc>
          <w:tcPr>
            <w:tcW w:type="dxa" w:w="3515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Ако рискът е смекчен до незначителен → пускането е допустимо.</w:t>
            </w:r>
          </w:p>
        </w:tc>
      </w:tr>
      <w:tr>
        <w:tc>
          <w:tcPr>
            <w:tcW w:type="dxa" w:w="567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sz w:val="14"/>
              </w:rPr>
              <w:t>У6</w:t>
            </w:r>
          </w:p>
        </w:tc>
        <w:tc>
          <w:tcPr>
            <w:tcW w:type="dxa" w:w="2608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Всеки оператор</w:t>
            </w:r>
          </w:p>
        </w:tc>
        <w:tc>
          <w:tcPr>
            <w:tcW w:type="dxa" w:w="4195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Продуктът съдържа както рециклиран, така и нерециклиран материал.</w:t>
            </w:r>
          </w:p>
        </w:tc>
        <w:tc>
          <w:tcPr>
            <w:tcW w:type="dxa" w:w="4309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Само нерециклираната част подлежи на пълна надлежна проверка и проследяване</w:t>
              <w:br/>
              <w:t>до площта на произход. Рециклираната част е извън обхвата.</w:t>
            </w:r>
          </w:p>
        </w:tc>
        <w:tc>
          <w:tcPr>
            <w:tcW w:type="dxa" w:w="2041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Приложение I; съобщение 40</w:t>
            </w:r>
          </w:p>
        </w:tc>
        <w:tc>
          <w:tcPr>
            <w:tcW w:type="dxa" w:w="1644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sz w:val="14"/>
              </w:rPr>
              <w:t>30.12.2026 / 30.06.2027 *</w:t>
            </w:r>
          </w:p>
        </w:tc>
        <w:tc>
          <w:tcPr>
            <w:tcW w:type="dxa" w:w="3515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Ако продуктът е ИЗЦЯЛО от рециклиран/възстановен материал → извън обхвата.</w:t>
            </w:r>
          </w:p>
        </w:tc>
      </w:tr>
      <w:tr>
        <w:tc>
          <w:tcPr>
            <w:tcW w:type="dxa" w:w="567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sz w:val="14"/>
              </w:rPr>
              <w:t>У7</w:t>
            </w:r>
          </w:p>
        </w:tc>
        <w:tc>
          <w:tcPr>
            <w:tcW w:type="dxa" w:w="2608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Всеки оператор и всеки търговец/</w:t>
              <w:br/>
              <w:t>downstream оператор</w:t>
            </w:r>
          </w:p>
        </w:tc>
        <w:tc>
          <w:tcPr>
            <w:tcW w:type="dxa" w:w="4195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Продуктът е употребяван, втора употреба, или е опаковка, която само носи,</w:t>
              <w:br/>
              <w:t>предпазва или пренася друг продукт, представен с него.</w:t>
            </w:r>
          </w:p>
        </w:tc>
        <w:tc>
          <w:tcPr>
            <w:tcW w:type="dxa" w:w="4309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Извън обхвата на EUDR – не се изисква ДНП, геолокация или надлежна проверка.</w:t>
            </w:r>
          </w:p>
        </w:tc>
        <w:tc>
          <w:tcPr>
            <w:tcW w:type="dxa" w:w="2041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Приложение I; C(2026)4920</w:t>
            </w:r>
          </w:p>
        </w:tc>
        <w:tc>
          <w:tcPr>
            <w:tcW w:type="dxa" w:w="1644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sz w:val="14"/>
              </w:rPr>
              <w:t>—</w:t>
            </w:r>
          </w:p>
        </w:tc>
        <w:tc>
          <w:tcPr>
            <w:tcW w:type="dxa" w:w="3515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Ако същата опаковка се продава като самостоятелен продукт → в обхвата.</w:t>
            </w:r>
          </w:p>
        </w:tc>
      </w:tr>
      <w:tr>
        <w:tc>
          <w:tcPr>
            <w:tcW w:type="dxa" w:w="567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sz w:val="14"/>
              </w:rPr>
              <w:t>У8</w:t>
            </w:r>
          </w:p>
        </w:tc>
        <w:tc>
          <w:tcPr>
            <w:tcW w:type="dxa" w:w="2608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Всеки оператор и търговец</w:t>
            </w:r>
          </w:p>
        </w:tc>
        <w:tc>
          <w:tcPr>
            <w:tcW w:type="dxa" w:w="4195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Продуктът е печатен продукт по глава 49 (книги, каталози, брошури, карти)</w:t>
              <w:br/>
              <w:t>или е с КН код в Приложение I, но не съдържа съответната стока.</w:t>
            </w:r>
          </w:p>
        </w:tc>
        <w:tc>
          <w:tcPr>
            <w:tcW w:type="dxa" w:w="4309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Извън обхвата на EUDR.</w:t>
            </w:r>
          </w:p>
        </w:tc>
        <w:tc>
          <w:tcPr>
            <w:tcW w:type="dxa" w:w="2041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Регламент 2025/2650; Приложение I</w:t>
            </w:r>
          </w:p>
        </w:tc>
        <w:tc>
          <w:tcPr>
            <w:tcW w:type="dxa" w:w="1644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sz w:val="14"/>
              </w:rPr>
              <w:t>—</w:t>
            </w:r>
          </w:p>
        </w:tc>
        <w:tc>
          <w:tcPr>
            <w:tcW w:type="dxa" w:w="3515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Ако продуктът съдържа съответната стока и кодът е в Приложение I → в обхвата.</w:t>
            </w:r>
          </w:p>
        </w:tc>
      </w:tr>
      <w:tr>
        <w:tc>
          <w:tcPr>
            <w:tcW w:type="dxa" w:w="567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sz w:val="14"/>
              </w:rPr>
              <w:t>У9</w:t>
            </w:r>
          </w:p>
        </w:tc>
        <w:tc>
          <w:tcPr>
            <w:tcW w:type="dxa" w:w="2608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Микро / малък / среден downstream оператор</w:t>
              <w:br/>
              <w:t>и търговец (SME)</w:t>
            </w:r>
          </w:p>
        </w:tc>
        <w:tc>
          <w:tcPr>
            <w:tcW w:type="dxa" w:w="4195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Предприятието е МСП по смисъла на Директива 2013/34/ЕС.</w:t>
            </w:r>
          </w:p>
        </w:tc>
        <w:tc>
          <w:tcPr>
            <w:tcW w:type="dxa" w:w="4309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НЕ се регистрира в Информационната система и НЕ проверява надлежната проверка</w:t>
              <w:br/>
              <w:t>нагоре. Остава задължението за записи по чл. 5(3) за 5 години и уведомяване при съмнение.</w:t>
            </w:r>
          </w:p>
        </w:tc>
        <w:tc>
          <w:tcPr>
            <w:tcW w:type="dxa" w:w="2041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чл. 5(2), чл. 5(6)</w:t>
            </w:r>
          </w:p>
        </w:tc>
        <w:tc>
          <w:tcPr>
            <w:tcW w:type="dxa" w:w="1644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sz w:val="14"/>
              </w:rPr>
              <w:t>30.12.2026</w:t>
            </w:r>
          </w:p>
        </w:tc>
        <w:tc>
          <w:tcPr>
            <w:tcW w:type="dxa" w:w="3515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Ако е non-SME → регистрация + проверка нагоре при основателно съмнение.</w:t>
            </w:r>
          </w:p>
        </w:tc>
      </w:tr>
      <w:tr>
        <w:tc>
          <w:tcPr>
            <w:tcW w:type="dxa" w:w="567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sz w:val="14"/>
              </w:rPr>
              <w:t>У10</w:t>
            </w:r>
          </w:p>
        </w:tc>
        <w:tc>
          <w:tcPr>
            <w:tcW w:type="dxa" w:w="2608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Първи downstream оператор или търговец</w:t>
              <w:br/>
              <w:t>(всеки размер)</w:t>
            </w:r>
          </w:p>
        </w:tc>
        <w:tc>
          <w:tcPr>
            <w:tcW w:type="dxa" w:w="4195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Продуктът идва директно от оператор или от микро/малък първичен оператор.</w:t>
            </w:r>
          </w:p>
        </w:tc>
        <w:tc>
          <w:tcPr>
            <w:tcW w:type="dxa" w:w="4309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Събира референтните номера на ДНП или идентификаторите на опростени декларации</w:t>
              <w:br/>
              <w:t>и ги пази 5 години. НЕ ги препредава по-нататък по веригата.</w:t>
            </w:r>
          </w:p>
        </w:tc>
        <w:tc>
          <w:tcPr>
            <w:tcW w:type="dxa" w:w="2041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чл. 5(3)(b)</w:t>
            </w:r>
          </w:p>
        </w:tc>
        <w:tc>
          <w:tcPr>
            <w:tcW w:type="dxa" w:w="1644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sz w:val="14"/>
              </w:rPr>
              <w:t>30.12.2026</w:t>
            </w:r>
          </w:p>
        </w:tc>
        <w:tc>
          <w:tcPr>
            <w:tcW w:type="dxa" w:w="3515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Всички след него в веригата не събират номера.</w:t>
            </w:r>
          </w:p>
        </w:tc>
      </w:tr>
      <w:tr>
        <w:tc>
          <w:tcPr>
            <w:tcW w:type="dxa" w:w="567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sz w:val="14"/>
              </w:rPr>
              <w:t>У11</w:t>
            </w:r>
          </w:p>
        </w:tc>
        <w:tc>
          <w:tcPr>
            <w:tcW w:type="dxa" w:w="2608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Non-SME downstream оператор</w:t>
              <w:br/>
              <w:t>и non-SME търговец</w:t>
            </w:r>
          </w:p>
        </w:tc>
        <w:tc>
          <w:tcPr>
            <w:tcW w:type="dxa" w:w="4195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Получена е информация или основателно съмнение, че продуктът не е в съответствие.</w:t>
            </w:r>
          </w:p>
        </w:tc>
        <w:tc>
          <w:tcPr>
            <w:tcW w:type="dxa" w:w="4309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Незабавно уведомяване на компетентните органи и на клиентите надолу;</w:t>
              <w:br/>
              <w:t>проверка, че надлежната проверка е извършена и рискът е незначителен.</w:t>
              <w:br/>
              <w:t>Без успешна проверка – забрана за пускане.</w:t>
            </w:r>
          </w:p>
        </w:tc>
        <w:tc>
          <w:tcPr>
            <w:tcW w:type="dxa" w:w="2041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чл. 5(5), чл. 5(6)</w:t>
            </w:r>
          </w:p>
        </w:tc>
        <w:tc>
          <w:tcPr>
            <w:tcW w:type="dxa" w:w="1644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sz w:val="14"/>
              </w:rPr>
              <w:t>30.12.2026</w:t>
            </w:r>
          </w:p>
        </w:tc>
        <w:tc>
          <w:tcPr>
            <w:tcW w:type="dxa" w:w="3515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Ако няма съмнение → само задълженията за записи; проверка не се изисква.</w:t>
            </w:r>
          </w:p>
        </w:tc>
      </w:tr>
      <w:tr>
        <w:tc>
          <w:tcPr>
            <w:tcW w:type="dxa" w:w="567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sz w:val="14"/>
              </w:rPr>
              <w:t>У12</w:t>
            </w:r>
          </w:p>
        </w:tc>
        <w:tc>
          <w:tcPr>
            <w:tcW w:type="dxa" w:w="2608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Оператор и EUTR (преходен режим)</w:t>
            </w:r>
          </w:p>
        </w:tc>
        <w:tc>
          <w:tcPr>
            <w:tcW w:type="dxa" w:w="4195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Дървесината е произведена (добита) преди 29.06.2023 г.</w:t>
              <w:br/>
              <w:t>И е пусната на пазара от 30.12.2026 г.</w:t>
            </w:r>
          </w:p>
        </w:tc>
        <w:tc>
          <w:tcPr>
            <w:tcW w:type="dxa" w:w="4309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Прилага се EUTR: надлежна проверка по чл. 4 и записи по чл. 5 – държава/регион</w:t>
              <w:br/>
              <w:t>на добив, дата/период на добив, вид, количество. Без критерий „без обезлесяване“.</w:t>
            </w:r>
          </w:p>
        </w:tc>
        <w:tc>
          <w:tcPr>
            <w:tcW w:type="dxa" w:w="2041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чл. 37 EUDR; чл. 4 – 6 EUTR</w:t>
            </w:r>
          </w:p>
        </w:tc>
        <w:tc>
          <w:tcPr>
            <w:tcW w:type="dxa" w:w="1644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sz w:val="14"/>
              </w:rPr>
              <w:t>до 31.12.2029</w:t>
            </w:r>
          </w:p>
        </w:tc>
        <w:tc>
          <w:tcPr>
            <w:tcW w:type="dxa" w:w="3515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От 01.01.2030 г. → EUDR по чл. 3, независимо от датата на добив.</w:t>
            </w:r>
          </w:p>
        </w:tc>
      </w:tr>
      <w:tr>
        <w:tc>
          <w:tcPr>
            <w:tcW w:type="dxa" w:w="567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sz w:val="14"/>
              </w:rPr>
              <w:t>У13</w:t>
            </w:r>
          </w:p>
        </w:tc>
        <w:tc>
          <w:tcPr>
            <w:tcW w:type="dxa" w:w="2608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Оператор</w:t>
            </w:r>
          </w:p>
        </w:tc>
        <w:tc>
          <w:tcPr>
            <w:tcW w:type="dxa" w:w="4195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Софтуерът/системата изисква данни за вида на дървесината.</w:t>
            </w:r>
          </w:p>
        </w:tc>
        <w:tc>
          <w:tcPr>
            <w:tcW w:type="dxa" w:w="4309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Задължително посочване на ботаническо наименование на ниво ВИД (род + вид).</w:t>
              <w:br/>
              <w:t>Родът сам по себе си не е достатъчен.</w:t>
            </w:r>
          </w:p>
        </w:tc>
        <w:tc>
          <w:tcPr>
            <w:tcW w:type="dxa" w:w="2041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чл. 9(1)(c)</w:t>
            </w:r>
          </w:p>
        </w:tc>
        <w:tc>
          <w:tcPr>
            <w:tcW w:type="dxa" w:w="1644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 w:val="0"/>
                <w:sz w:val="14"/>
              </w:rPr>
              <w:t>30.12.2026 / 30.06.2027 *</w:t>
            </w:r>
          </w:p>
        </w:tc>
        <w:tc>
          <w:tcPr>
            <w:tcW w:type="dxa" w:w="3515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4"/>
              </w:rPr>
              <w:t>При композитни продукти се изброяват всички видове, които е възможно да са използвани.</w:t>
            </w:r>
          </w:p>
        </w:tc>
      </w:tr>
    </w:tbl>
    <w:p>
      <w:r>
        <w:br w:type="page"/>
      </w:r>
    </w:p>
    <w:p>
      <w:r>
        <w:rPr>
          <w:b/>
          <w:color w:val="1F4E79"/>
          <w:sz w:val="32"/>
        </w:rPr>
        <w:t>Нива на държавен риск — какво се променя</w:t>
      </w:r>
    </w:p>
    <w:p>
      <w:r>
        <w:rPr>
          <w:i/>
          <w:color w:val="444444"/>
          <w:sz w:val="17"/>
        </w:rPr>
        <w:t>Нивото на риск се определя от държавата (или частта от държава) на ПРОИЗХОД на стоката — не от държавата, в която е установен операторът. При смесен произход се прилага НАЙ-ВИСОКОТО ниво.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22677"/>
      </w:tblGrid>
      <w:tr>
        <w:tc>
          <w:tcPr>
            <w:tcW w:type="dxa" w:w="22677"/>
            <w:shd w:fill="FFF3CD" w:val="clear"/>
          </w:tcPr>
          <w:p>
            <w:r/>
            <w:r>
              <w:rPr>
                <w:b/>
                <w:color w:val="7F3F00"/>
                <w:sz w:val="17"/>
              </w:rPr>
              <w:t xml:space="preserve">Ключово:  </w:t>
            </w:r>
            <w:r>
              <w:rPr>
                <w:color w:val="7F3F00"/>
                <w:sz w:val="17"/>
              </w:rPr>
              <w:t>опростеният режим по чл. 13 важи само когато ВСИЧКИ съответни стоки са произведени изключително в LOW държави или части от тях И рискът от заобикаляне/смесване е незначителен. Ако има и една стока от STANDARD/HIGH — прилага се пълната оценка по чл. 10 – 11.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0"/>
        <w:gridCol w:w="3240"/>
        <w:gridCol w:w="3240"/>
        <w:gridCol w:w="3240"/>
        <w:gridCol w:w="3240"/>
        <w:gridCol w:w="3240"/>
        <w:gridCol w:w="3240"/>
      </w:tblGrid>
      <w:tr>
        <w:tc>
          <w:tcPr>
            <w:tcW w:type="dxa" w:w="567"/>
            <w:shd w:fill="2E5C8A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№</w:t>
            </w:r>
          </w:p>
        </w:tc>
        <w:tc>
          <w:tcPr>
            <w:tcW w:type="dxa" w:w="4649"/>
            <w:shd w:fill="2E5C8A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Изискване / последица</w:t>
            </w:r>
          </w:p>
        </w:tc>
        <w:tc>
          <w:tcPr>
            <w:tcW w:type="dxa" w:w="2494"/>
            <w:shd w:fill="2E5C8A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Правно основание</w:t>
            </w:r>
          </w:p>
        </w:tc>
        <w:tc>
          <w:tcPr>
            <w:tcW w:type="dxa" w:w="1644"/>
            <w:shd w:fill="2F6B2F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LOW</w:t>
            </w:r>
          </w:p>
        </w:tc>
        <w:tc>
          <w:tcPr>
            <w:tcW w:type="dxa" w:w="1644"/>
            <w:shd w:fill="8A6A00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STANDARD</w:t>
            </w:r>
          </w:p>
        </w:tc>
        <w:tc>
          <w:tcPr>
            <w:tcW w:type="dxa" w:w="1644"/>
            <w:shd w:fill="8B1A1A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HIGH</w:t>
            </w:r>
          </w:p>
        </w:tc>
        <w:tc>
          <w:tcPr>
            <w:tcW w:type="dxa" w:w="5102"/>
            <w:shd w:fill="2E5C8A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FFFFFF"/>
                <w:sz w:val="16"/>
              </w:rPr>
              <w:t>Бележка</w:t>
            </w:r>
          </w:p>
        </w:tc>
      </w:tr>
      <w:tr>
        <w:tc>
          <w:tcPr>
            <w:tcW w:type="dxa" w:w="567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sz w:val="15"/>
              </w:rPr>
              <w:t>Р1</w:t>
            </w:r>
          </w:p>
        </w:tc>
        <w:tc>
          <w:tcPr>
            <w:tcW w:type="dxa" w:w="4649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5"/>
              </w:rPr>
              <w:t>Събиране на информация по чл. 9 и геолокация</w:t>
            </w:r>
          </w:p>
        </w:tc>
        <w:tc>
          <w:tcPr>
            <w:tcW w:type="dxa" w:w="249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5"/>
              </w:rPr>
              <w:t>чл. 9; чл. 13</w:t>
            </w:r>
          </w:p>
        </w:tc>
        <w:tc>
          <w:tcPr>
            <w:tcW w:type="dxa" w:w="16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15"/>
              </w:rPr>
              <w:t>✓</w:t>
              <w:br/>
              <w:t>пълно</w:t>
            </w:r>
          </w:p>
        </w:tc>
        <w:tc>
          <w:tcPr>
            <w:tcW w:type="dxa" w:w="16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15"/>
              </w:rPr>
              <w:t>✓</w:t>
              <w:br/>
              <w:t>пълно</w:t>
            </w:r>
          </w:p>
        </w:tc>
        <w:tc>
          <w:tcPr>
            <w:tcW w:type="dxa" w:w="16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15"/>
              </w:rPr>
              <w:t>✓</w:t>
              <w:br/>
              <w:t>пълно</w:t>
            </w:r>
          </w:p>
        </w:tc>
        <w:tc>
          <w:tcPr>
            <w:tcW w:type="dxa" w:w="5102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5"/>
              </w:rPr>
              <w:t>Няма изключение от геолокацията по чл. 13 — тя се изисква и при LOW.</w:t>
            </w:r>
          </w:p>
        </w:tc>
      </w:tr>
      <w:tr>
        <w:tc>
          <w:tcPr>
            <w:tcW w:type="dxa" w:w="567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sz w:val="15"/>
              </w:rPr>
              <w:t>Р2</w:t>
            </w:r>
          </w:p>
        </w:tc>
        <w:tc>
          <w:tcPr>
            <w:tcW w:type="dxa" w:w="4649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5"/>
              </w:rPr>
              <w:t>Оценка на сложността на веригата и на риска от заобикаляне / смесване</w:t>
            </w:r>
          </w:p>
        </w:tc>
        <w:tc>
          <w:tcPr>
            <w:tcW w:type="dxa" w:w="249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5"/>
              </w:rPr>
              <w:t>чл. 13(1); чл. 10(2)(a)</w:t>
            </w:r>
          </w:p>
        </w:tc>
        <w:tc>
          <w:tcPr>
            <w:tcW w:type="dxa" w:w="16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15"/>
              </w:rPr>
              <w:t>✓</w:t>
              <w:br/>
              <w:t>условие за опростен режим</w:t>
            </w:r>
          </w:p>
        </w:tc>
        <w:tc>
          <w:tcPr>
            <w:tcW w:type="dxa" w:w="16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15"/>
              </w:rPr>
              <w:t>✓</w:t>
              <w:br/>
              <w:t>част от оценката</w:t>
            </w:r>
          </w:p>
        </w:tc>
        <w:tc>
          <w:tcPr>
            <w:tcW w:type="dxa" w:w="16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15"/>
              </w:rPr>
              <w:t>✓</w:t>
              <w:br/>
              <w:t>част от оценката</w:t>
            </w:r>
          </w:p>
        </w:tc>
        <w:tc>
          <w:tcPr>
            <w:tcW w:type="dxa" w:w="5102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5"/>
              </w:rPr>
              <w:t>При LOW тази оценка ЗАМЕСТВА чл. 10 — без нея опростеният режим не е наличен.</w:t>
            </w:r>
          </w:p>
        </w:tc>
      </w:tr>
      <w:tr>
        <w:tc>
          <w:tcPr>
            <w:tcW w:type="dxa" w:w="567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sz w:val="15"/>
              </w:rPr>
              <w:t>Р3</w:t>
            </w:r>
          </w:p>
        </w:tc>
        <w:tc>
          <w:tcPr>
            <w:tcW w:type="dxa" w:w="4649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5"/>
              </w:rPr>
              <w:t>Оценка на риска по чл. 10</w:t>
            </w:r>
          </w:p>
        </w:tc>
        <w:tc>
          <w:tcPr>
            <w:tcW w:type="dxa" w:w="249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5"/>
              </w:rPr>
              <w:t>чл. 10; чл. 13(1)</w:t>
            </w:r>
          </w:p>
        </w:tc>
        <w:tc>
          <w:tcPr>
            <w:tcW w:type="dxa" w:w="16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color w:val="9C0006"/>
                <w:sz w:val="15"/>
              </w:rPr>
              <w:t>✗</w:t>
              <w:br/>
              <w:t>не се изисква</w:t>
            </w:r>
          </w:p>
        </w:tc>
        <w:tc>
          <w:tcPr>
            <w:tcW w:type="dxa" w:w="16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15"/>
              </w:rPr>
              <w:t>✓</w:t>
              <w:br/>
              <w:t>пълна</w:t>
            </w:r>
          </w:p>
        </w:tc>
        <w:tc>
          <w:tcPr>
            <w:tcW w:type="dxa" w:w="16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15"/>
              </w:rPr>
              <w:t>✓</w:t>
              <w:br/>
              <w:t>пълна, със засилено внимание</w:t>
            </w:r>
          </w:p>
        </w:tc>
        <w:tc>
          <w:tcPr>
            <w:tcW w:type="dxa" w:w="5102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5"/>
              </w:rPr>
              <w:t>При LOW се пропуска само ако ВСИЧКИ стоки са от LOW държави и рискът от заобикаляне е незначителен.</w:t>
            </w:r>
          </w:p>
        </w:tc>
      </w:tr>
      <w:tr>
        <w:tc>
          <w:tcPr>
            <w:tcW w:type="dxa" w:w="567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sz w:val="15"/>
              </w:rPr>
              <w:t>Р4</w:t>
            </w:r>
          </w:p>
        </w:tc>
        <w:tc>
          <w:tcPr>
            <w:tcW w:type="dxa" w:w="4649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5"/>
              </w:rPr>
              <w:t>Смекчаване на риска до „незначителен“ по чл. 11</w:t>
            </w:r>
          </w:p>
        </w:tc>
        <w:tc>
          <w:tcPr>
            <w:tcW w:type="dxa" w:w="249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5"/>
              </w:rPr>
              <w:t>чл. 11; чл. 13(1)</w:t>
            </w:r>
          </w:p>
        </w:tc>
        <w:tc>
          <w:tcPr>
            <w:tcW w:type="dxa" w:w="16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color w:val="9C0006"/>
                <w:sz w:val="15"/>
              </w:rPr>
              <w:t>✗</w:t>
              <w:br/>
              <w:t>не се изисква</w:t>
            </w:r>
          </w:p>
        </w:tc>
        <w:tc>
          <w:tcPr>
            <w:tcW w:type="dxa" w:w="16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15"/>
              </w:rPr>
              <w:t>✓</w:t>
              <w:br/>
              <w:t>задължително</w:t>
            </w:r>
          </w:p>
        </w:tc>
        <w:tc>
          <w:tcPr>
            <w:tcW w:type="dxa" w:w="16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15"/>
              </w:rPr>
              <w:t>✓</w:t>
              <w:br/>
              <w:t>задължително</w:t>
            </w:r>
          </w:p>
        </w:tc>
        <w:tc>
          <w:tcPr>
            <w:tcW w:type="dxa" w:w="5102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5"/>
              </w:rPr>
              <w:t>При STD/HIGH без успешно смекчаване → забрана за пускане на пазара.</w:t>
            </w:r>
          </w:p>
        </w:tc>
      </w:tr>
      <w:tr>
        <w:tc>
          <w:tcPr>
            <w:tcW w:type="dxa" w:w="567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sz w:val="15"/>
              </w:rPr>
              <w:t>Р5</w:t>
            </w:r>
          </w:p>
        </w:tc>
        <w:tc>
          <w:tcPr>
            <w:tcW w:type="dxa" w:w="4649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5"/>
              </w:rPr>
              <w:t>Опростена надлежна проверка (чл. 13)</w:t>
            </w:r>
          </w:p>
        </w:tc>
        <w:tc>
          <w:tcPr>
            <w:tcW w:type="dxa" w:w="249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5"/>
              </w:rPr>
              <w:t>чл. 13</w:t>
            </w:r>
          </w:p>
        </w:tc>
        <w:tc>
          <w:tcPr>
            <w:tcW w:type="dxa" w:w="16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15"/>
              </w:rPr>
              <w:t>✓</w:t>
              <w:br/>
              <w:t>допустима</w:t>
            </w:r>
          </w:p>
        </w:tc>
        <w:tc>
          <w:tcPr>
            <w:tcW w:type="dxa" w:w="16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color w:val="9C0006"/>
                <w:sz w:val="15"/>
              </w:rPr>
              <w:t>✗</w:t>
              <w:br/>
              <w:t>недопустима</w:t>
            </w:r>
          </w:p>
        </w:tc>
        <w:tc>
          <w:tcPr>
            <w:tcW w:type="dxa" w:w="16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color w:val="9C0006"/>
                <w:sz w:val="15"/>
              </w:rPr>
              <w:t>✗</w:t>
              <w:br/>
              <w:t>недопустима</w:t>
            </w:r>
          </w:p>
        </w:tc>
        <w:tc>
          <w:tcPr>
            <w:tcW w:type="dxa" w:w="5102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5"/>
              </w:rPr>
              <w:t>Правото на опростен режим зависи от държавата на ПРОИЗХОД, не от държавата на оператора.</w:t>
            </w:r>
          </w:p>
        </w:tc>
      </w:tr>
      <w:tr>
        <w:tc>
          <w:tcPr>
            <w:tcW w:type="dxa" w:w="567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sz w:val="15"/>
              </w:rPr>
              <w:t>Р6</w:t>
            </w:r>
          </w:p>
        </w:tc>
        <w:tc>
          <w:tcPr>
            <w:tcW w:type="dxa" w:w="4649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5"/>
              </w:rPr>
              <w:t>Статут „микро / малък първичен оператор“</w:t>
            </w:r>
          </w:p>
        </w:tc>
        <w:tc>
          <w:tcPr>
            <w:tcW w:type="dxa" w:w="249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5"/>
              </w:rPr>
              <w:t>чл. 2(15a)</w:t>
            </w:r>
          </w:p>
        </w:tc>
        <w:tc>
          <w:tcPr>
            <w:tcW w:type="dxa" w:w="16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15"/>
              </w:rPr>
              <w:t>✓</w:t>
              <w:br/>
              <w:t>възможен</w:t>
            </w:r>
          </w:p>
        </w:tc>
        <w:tc>
          <w:tcPr>
            <w:tcW w:type="dxa" w:w="16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color w:val="9C0006"/>
                <w:sz w:val="15"/>
              </w:rPr>
              <w:t>✗</w:t>
              <w:br/>
              <w:t>невъзможен</w:t>
            </w:r>
          </w:p>
        </w:tc>
        <w:tc>
          <w:tcPr>
            <w:tcW w:type="dxa" w:w="16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color w:val="9C0006"/>
                <w:sz w:val="15"/>
              </w:rPr>
              <w:t>✗</w:t>
              <w:br/>
              <w:t>невъзможен</w:t>
            </w:r>
          </w:p>
        </w:tc>
        <w:tc>
          <w:tcPr>
            <w:tcW w:type="dxa" w:w="5102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5"/>
              </w:rPr>
              <w:t>По определение изисква операторът да е установен в държава с НИСЪК риск.</w:t>
            </w:r>
          </w:p>
        </w:tc>
      </w:tr>
      <w:tr>
        <w:tc>
          <w:tcPr>
            <w:tcW w:type="dxa" w:w="567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sz w:val="15"/>
              </w:rPr>
              <w:t>Р7</w:t>
            </w:r>
          </w:p>
        </w:tc>
        <w:tc>
          <w:tcPr>
            <w:tcW w:type="dxa" w:w="4649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5"/>
              </w:rPr>
              <w:t>Пощенски адрес вместо геокоординати</w:t>
            </w:r>
          </w:p>
        </w:tc>
        <w:tc>
          <w:tcPr>
            <w:tcW w:type="dxa" w:w="249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5"/>
              </w:rPr>
              <w:t>чл. 9(1)(d); чл. 4a</w:t>
            </w:r>
          </w:p>
        </w:tc>
        <w:tc>
          <w:tcPr>
            <w:tcW w:type="dxa" w:w="16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15"/>
              </w:rPr>
              <w:t>✓</w:t>
              <w:br/>
              <w:t>само за първичен оператор</w:t>
            </w:r>
          </w:p>
        </w:tc>
        <w:tc>
          <w:tcPr>
            <w:tcW w:type="dxa" w:w="16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color w:val="9C0006"/>
                <w:sz w:val="15"/>
              </w:rPr>
              <w:t>✗</w:t>
              <w:br/>
              <w:t>недопустим</w:t>
            </w:r>
          </w:p>
        </w:tc>
        <w:tc>
          <w:tcPr>
            <w:tcW w:type="dxa" w:w="16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color w:val="9C0006"/>
                <w:sz w:val="15"/>
              </w:rPr>
              <w:t>✗</w:t>
              <w:br/>
              <w:t>недопустим</w:t>
            </w:r>
          </w:p>
        </w:tc>
        <w:tc>
          <w:tcPr>
            <w:tcW w:type="dxa" w:w="5102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5"/>
              </w:rPr>
              <w:t>Адресът трябва да съответства на реалното място на площта, а не на административен офис.</w:t>
            </w:r>
          </w:p>
        </w:tc>
      </w:tr>
      <w:tr>
        <w:tc>
          <w:tcPr>
            <w:tcW w:type="dxa" w:w="567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sz w:val="15"/>
              </w:rPr>
              <w:t>Р8</w:t>
            </w:r>
          </w:p>
        </w:tc>
        <w:tc>
          <w:tcPr>
            <w:tcW w:type="dxa" w:w="4649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5"/>
              </w:rPr>
              <w:t>Доказателства за FPIC / права на местни общности</w:t>
            </w:r>
          </w:p>
        </w:tc>
        <w:tc>
          <w:tcPr>
            <w:tcW w:type="dxa" w:w="249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5"/>
              </w:rPr>
              <w:t>чл. 10(2)(b)</w:t>
            </w:r>
          </w:p>
        </w:tc>
        <w:tc>
          <w:tcPr>
            <w:tcW w:type="dxa" w:w="16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color w:val="9C0006"/>
                <w:sz w:val="15"/>
              </w:rPr>
              <w:t>не се изисква</w:t>
            </w:r>
          </w:p>
        </w:tc>
        <w:tc>
          <w:tcPr>
            <w:tcW w:type="dxa" w:w="16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15"/>
              </w:rPr>
              <w:t>✓</w:t>
              <w:br/>
              <w:t>при наличие на общности</w:t>
            </w:r>
          </w:p>
        </w:tc>
        <w:tc>
          <w:tcPr>
            <w:tcW w:type="dxa" w:w="16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15"/>
              </w:rPr>
              <w:t>✓</w:t>
              <w:br/>
              <w:t>приоритетно</w:t>
            </w:r>
          </w:p>
        </w:tc>
        <w:tc>
          <w:tcPr>
            <w:tcW w:type="dxa" w:w="5102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5"/>
              </w:rPr>
              <w:t>Част от оценката по чл. 10 — при LOW отпада заедно с нея.</w:t>
            </w:r>
          </w:p>
        </w:tc>
      </w:tr>
      <w:tr>
        <w:tc>
          <w:tcPr>
            <w:tcW w:type="dxa" w:w="567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sz w:val="15"/>
              </w:rPr>
              <w:t>Р9</w:t>
            </w:r>
          </w:p>
        </w:tc>
        <w:tc>
          <w:tcPr>
            <w:tcW w:type="dxa" w:w="4649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5"/>
              </w:rPr>
              <w:t>Документи за право на ползване на земята</w:t>
            </w:r>
          </w:p>
        </w:tc>
        <w:tc>
          <w:tcPr>
            <w:tcW w:type="dxa" w:w="249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5"/>
              </w:rPr>
              <w:t>чл. 10(2)(b)</w:t>
            </w:r>
          </w:p>
        </w:tc>
        <w:tc>
          <w:tcPr>
            <w:tcW w:type="dxa" w:w="16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color w:val="9C0006"/>
                <w:sz w:val="15"/>
              </w:rPr>
              <w:t>не се изисква</w:t>
            </w:r>
          </w:p>
        </w:tc>
        <w:tc>
          <w:tcPr>
            <w:tcW w:type="dxa" w:w="16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15"/>
              </w:rPr>
              <w:t>✓</w:t>
              <w:br/>
              <w:t>изисква се</w:t>
            </w:r>
          </w:p>
        </w:tc>
        <w:tc>
          <w:tcPr>
            <w:tcW w:type="dxa" w:w="16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15"/>
              </w:rPr>
              <w:t>✓</w:t>
              <w:br/>
              <w:t>изисква се</w:t>
            </w:r>
          </w:p>
        </w:tc>
        <w:tc>
          <w:tcPr>
            <w:tcW w:type="dxa" w:w="5102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5"/>
              </w:rPr>
              <w:t>Титул, концесия или договор за наем за всяка площ.</w:t>
            </w:r>
          </w:p>
        </w:tc>
      </w:tr>
      <w:tr>
        <w:tc>
          <w:tcPr>
            <w:tcW w:type="dxa" w:w="567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sz w:val="15"/>
              </w:rPr>
              <w:t>Р10</w:t>
            </w:r>
          </w:p>
        </w:tc>
        <w:tc>
          <w:tcPr>
            <w:tcW w:type="dxa" w:w="4649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5"/>
              </w:rPr>
              <w:t>Данни за разпространението на обезлесяване / деградация в района</w:t>
            </w:r>
          </w:p>
        </w:tc>
        <w:tc>
          <w:tcPr>
            <w:tcW w:type="dxa" w:w="249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5"/>
              </w:rPr>
              <w:t>чл. 10(2)(a)</w:t>
            </w:r>
          </w:p>
        </w:tc>
        <w:tc>
          <w:tcPr>
            <w:tcW w:type="dxa" w:w="16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color w:val="9C0006"/>
                <w:sz w:val="15"/>
              </w:rPr>
              <w:t>не се изисква</w:t>
            </w:r>
          </w:p>
        </w:tc>
        <w:tc>
          <w:tcPr>
            <w:tcW w:type="dxa" w:w="16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15"/>
              </w:rPr>
              <w:t>✓</w:t>
              <w:br/>
              <w:t>изисква се</w:t>
            </w:r>
          </w:p>
        </w:tc>
        <w:tc>
          <w:tcPr>
            <w:tcW w:type="dxa" w:w="16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15"/>
              </w:rPr>
              <w:t>✓</w:t>
              <w:br/>
              <w:t>изисква се</w:t>
            </w:r>
          </w:p>
        </w:tc>
        <w:tc>
          <w:tcPr>
            <w:tcW w:type="dxa" w:w="5102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5"/>
              </w:rPr>
              <w:t>Оценка на горския фонд и темпа на обезлесяване в държавата или района на произход.</w:t>
            </w:r>
          </w:p>
        </w:tc>
      </w:tr>
      <w:tr>
        <w:tc>
          <w:tcPr>
            <w:tcW w:type="dxa" w:w="567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sz w:val="15"/>
              </w:rPr>
              <w:t>Р11</w:t>
            </w:r>
          </w:p>
        </w:tc>
        <w:tc>
          <w:tcPr>
            <w:tcW w:type="dxa" w:w="4649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5"/>
              </w:rPr>
              <w:t>Индикатори за корупция, фалшификация и върховенство на закона</w:t>
            </w:r>
          </w:p>
        </w:tc>
        <w:tc>
          <w:tcPr>
            <w:tcW w:type="dxa" w:w="249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5"/>
              </w:rPr>
              <w:t>чл. 10(2)(h)</w:t>
            </w:r>
          </w:p>
        </w:tc>
        <w:tc>
          <w:tcPr>
            <w:tcW w:type="dxa" w:w="1644"/>
            <w:shd w:fill="F2F2F2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color w:val="9C0006"/>
                <w:sz w:val="15"/>
              </w:rPr>
              <w:t>не се изисква</w:t>
            </w:r>
          </w:p>
        </w:tc>
        <w:tc>
          <w:tcPr>
            <w:tcW w:type="dxa" w:w="16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15"/>
              </w:rPr>
              <w:t>✓</w:t>
              <w:br/>
              <w:t>отчита се</w:t>
            </w:r>
          </w:p>
        </w:tc>
        <w:tc>
          <w:tcPr>
            <w:tcW w:type="dxa" w:w="1644"/>
            <w:shd w:fill="C6EFCE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006100"/>
                <w:sz w:val="15"/>
              </w:rPr>
              <w:t>✓</w:t>
              <w:br/>
              <w:t>ключово</w:t>
            </w:r>
          </w:p>
        </w:tc>
        <w:tc>
          <w:tcPr>
            <w:tcW w:type="dxa" w:w="5102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5"/>
              </w:rPr>
              <w:t>Тежестта нараства с риска — влияе върху доверието към документите за законност.</w:t>
            </w:r>
          </w:p>
        </w:tc>
      </w:tr>
      <w:tr>
        <w:tc>
          <w:tcPr>
            <w:tcW w:type="dxa" w:w="567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sz w:val="15"/>
              </w:rPr>
              <w:t>Р12</w:t>
            </w:r>
          </w:p>
        </w:tc>
        <w:tc>
          <w:tcPr>
            <w:tcW w:type="dxa" w:w="4649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5"/>
              </w:rPr>
              <w:t>Последица: материал от STD/HIGH, преработен в LOW държава</w:t>
            </w:r>
          </w:p>
        </w:tc>
        <w:tc>
          <w:tcPr>
            <w:tcW w:type="dxa" w:w="249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5"/>
              </w:rPr>
              <w:t>чл. 13(3)</w:t>
            </w:r>
          </w:p>
        </w:tc>
        <w:tc>
          <w:tcPr>
            <w:tcW w:type="dxa" w:w="1644"/>
            <w:shd w:fill="FFF2CC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8A4B00"/>
                <w:sz w:val="15"/>
              </w:rPr>
              <w:t>губи опростения режим</w:t>
            </w:r>
          </w:p>
        </w:tc>
        <w:tc>
          <w:tcPr>
            <w:tcW w:type="dxa" w:w="1644"/>
            <w:shd w:fill="FFF2CC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8A4B00"/>
                <w:sz w:val="15"/>
              </w:rPr>
              <w:t>—</w:t>
            </w:r>
          </w:p>
        </w:tc>
        <w:tc>
          <w:tcPr>
            <w:tcW w:type="dxa" w:w="1644"/>
            <w:shd w:fill="FFF2CC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8A4B00"/>
                <w:sz w:val="15"/>
              </w:rPr>
              <w:t>—</w:t>
            </w:r>
          </w:p>
        </w:tc>
        <w:tc>
          <w:tcPr>
            <w:tcW w:type="dxa" w:w="5102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5"/>
              </w:rPr>
              <w:t>Преработката в LOW държава НЕ прави продукта низкорисков — класифицира се по произхода на суровината.</w:t>
            </w:r>
          </w:p>
        </w:tc>
      </w:tr>
      <w:tr>
        <w:tc>
          <w:tcPr>
            <w:tcW w:type="dxa" w:w="567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sz w:val="15"/>
              </w:rPr>
              <w:t>Р13</w:t>
            </w:r>
          </w:p>
        </w:tc>
        <w:tc>
          <w:tcPr>
            <w:tcW w:type="dxa" w:w="4649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5"/>
              </w:rPr>
              <w:t>Проверки от компетентния орган (годишно, % от операторите)</w:t>
            </w:r>
          </w:p>
        </w:tc>
        <w:tc>
          <w:tcPr>
            <w:tcW w:type="dxa" w:w="249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5"/>
              </w:rPr>
              <w:t>чл. 16(8) – (10)</w:t>
            </w:r>
          </w:p>
        </w:tc>
        <w:tc>
          <w:tcPr>
            <w:tcW w:type="dxa" w:w="1644"/>
            <w:shd w:fill="FFF2CC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8A4B00"/>
                <w:sz w:val="15"/>
              </w:rPr>
              <w:t>1 %</w:t>
            </w:r>
          </w:p>
        </w:tc>
        <w:tc>
          <w:tcPr>
            <w:tcW w:type="dxa" w:w="1644"/>
            <w:shd w:fill="FFF2CC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8A4B00"/>
                <w:sz w:val="15"/>
              </w:rPr>
              <w:t>3 %</w:t>
            </w:r>
          </w:p>
        </w:tc>
        <w:tc>
          <w:tcPr>
            <w:tcW w:type="dxa" w:w="1644"/>
            <w:shd w:fill="FFF2CC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8A4B00"/>
                <w:sz w:val="15"/>
              </w:rPr>
              <w:t>9 %</w:t>
            </w:r>
          </w:p>
        </w:tc>
        <w:tc>
          <w:tcPr>
            <w:tcW w:type="dxa" w:w="5102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5"/>
              </w:rPr>
              <w:t>Задължение на държавата, не на оператора — но определя реалния шанс за проверка.</w:t>
            </w:r>
          </w:p>
        </w:tc>
      </w:tr>
      <w:tr>
        <w:tc>
          <w:tcPr>
            <w:tcW w:type="dxa" w:w="567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sz w:val="15"/>
              </w:rPr>
              <w:t>Р14</w:t>
            </w:r>
          </w:p>
        </w:tc>
        <w:tc>
          <w:tcPr>
            <w:tcW w:type="dxa" w:w="4649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5"/>
              </w:rPr>
              <w:t>Класификация на ниво „държава или част от държава“</w:t>
            </w:r>
          </w:p>
        </w:tc>
        <w:tc>
          <w:tcPr>
            <w:tcW w:type="dxa" w:w="2494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5"/>
              </w:rPr>
              <w:t>чл. 29; Регл. 2025/1093</w:t>
            </w:r>
          </w:p>
        </w:tc>
        <w:tc>
          <w:tcPr>
            <w:tcW w:type="dxa" w:w="1644"/>
            <w:shd w:fill="FFF2CC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8A4B00"/>
                <w:sz w:val="15"/>
              </w:rPr>
              <w:t>140 държави</w:t>
            </w:r>
          </w:p>
        </w:tc>
        <w:tc>
          <w:tcPr>
            <w:tcW w:type="dxa" w:w="1644"/>
            <w:shd w:fill="FFF2CC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8A4B00"/>
                <w:sz w:val="15"/>
              </w:rPr>
              <w:t>50 държави</w:t>
            </w:r>
          </w:p>
        </w:tc>
        <w:tc>
          <w:tcPr>
            <w:tcW w:type="dxa" w:w="1644"/>
            <w:shd w:fill="FFF2CC" w:val="clear"/>
          </w:tcPr>
          <w:p>
            <w:pPr>
              <w:spacing w:before="0" w:after="0"/>
              <w:jc w:val="center"/>
            </w:pPr>
            <w:r/>
            <w:r>
              <w:rPr>
                <w:rFonts w:ascii="Calibri" w:hAnsi="Calibri"/>
                <w:b/>
                <w:color w:val="8A4B00"/>
                <w:sz w:val="15"/>
              </w:rPr>
              <w:t>4 държави</w:t>
            </w:r>
          </w:p>
        </w:tc>
        <w:tc>
          <w:tcPr>
            <w:tcW w:type="dxa" w:w="5102"/>
          </w:tcPr>
          <w:p>
            <w:pPr>
              <w:spacing w:before="0" w:after="0"/>
              <w:jc w:val="left"/>
            </w:pPr>
            <w:r/>
            <w:r>
              <w:rPr>
                <w:rFonts w:ascii="Calibri" w:hAnsi="Calibri"/>
                <w:b w:val="0"/>
                <w:sz w:val="15"/>
              </w:rPr>
              <w:t>Списъкът се актуализира — при промяна нивото се сменя автоматично. HIGH: BY, KP, MM, RU.</w:t>
            </w:r>
          </w:p>
        </w:tc>
      </w:tr>
    </w:tbl>
    <w:p/>
    <w:p>
      <w:r>
        <w:rPr>
          <w:i/>
          <w:color w:val="666666"/>
          <w:sz w:val="14"/>
        </w:rPr>
        <w:t>Източници: Регламент (ЕС) 2023/1115 — чл. 10(2), чл. 13, чл. 16(8) – (10), чл. 29; Регламент (ЕС) 2025/2650; Регламент за изпълнение (ЕС) 2025/1093.</w:t>
      </w:r>
    </w:p>
    <w:sectPr w:rsidR="00FC693F" w:rsidRPr="0006063C" w:rsidSect="00034616">
      <w:pgSz w:w="23811" w:h="16838" w:orient="landscape"/>
      <w:pgMar w:top="397" w:right="567" w:bottom="397" w:left="56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